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36" w:type="dxa"/>
        <w:jc w:val="center"/>
        <w:tblLayout w:type="fixed"/>
        <w:tblLook w:val="04A0" w:firstRow="1" w:lastRow="0" w:firstColumn="1" w:lastColumn="0" w:noHBand="0" w:noVBand="1"/>
      </w:tblPr>
      <w:tblGrid>
        <w:gridCol w:w="1560"/>
        <w:gridCol w:w="9576"/>
      </w:tblGrid>
      <w:tr w:rsidR="00543425" w:rsidRPr="00E84115" w14:paraId="6CB7F5F8" w14:textId="77777777" w:rsidTr="00BD189C">
        <w:trPr>
          <w:trHeight w:val="2156"/>
          <w:jc w:val="center"/>
        </w:trPr>
        <w:tc>
          <w:tcPr>
            <w:tcW w:w="11136" w:type="dxa"/>
            <w:gridSpan w:val="2"/>
            <w:tcBorders>
              <w:top w:val="nil"/>
              <w:left w:val="nil"/>
              <w:bottom w:val="single" w:sz="4" w:space="0" w:color="auto"/>
              <w:right w:val="nil"/>
            </w:tcBorders>
            <w:shd w:val="clear" w:color="auto" w:fill="auto"/>
          </w:tcPr>
          <w:p w14:paraId="13434154" w14:textId="17C20820" w:rsidR="00223B6D" w:rsidRPr="004B6000" w:rsidRDefault="0007221B" w:rsidP="008E1B41">
            <w:pPr>
              <w:pStyle w:val="Boxtext"/>
              <w:spacing w:after="120"/>
              <w:jc w:val="center"/>
              <w:rPr>
                <w:rFonts w:asciiTheme="minorHAnsi" w:hAnsiTheme="minorHAnsi" w:cstheme="minorHAnsi"/>
                <w:b/>
                <w:sz w:val="28"/>
                <w:szCs w:val="28"/>
                <w:lang w:val="fr-FR"/>
              </w:rPr>
            </w:pPr>
            <w:r w:rsidRPr="004B6000">
              <w:rPr>
                <w:rFonts w:asciiTheme="minorHAnsi" w:hAnsiTheme="minorHAnsi" w:cstheme="minorHAnsi"/>
                <w:b/>
                <w:sz w:val="28"/>
                <w:szCs w:val="28"/>
                <w:lang w:val="fr-FR"/>
              </w:rPr>
              <w:t>Agenda</w:t>
            </w:r>
          </w:p>
          <w:p w14:paraId="0246AF19" w14:textId="2A494496" w:rsidR="00676917" w:rsidRPr="007831BA" w:rsidRDefault="00223B6D" w:rsidP="00676917">
            <w:pPr>
              <w:shd w:val="clear" w:color="auto" w:fill="FFFFFF"/>
              <w:spacing w:before="240" w:after="240" w:line="276" w:lineRule="auto"/>
              <w:jc w:val="both"/>
              <w:rPr>
                <w:rFonts w:asciiTheme="minorHAnsi" w:hAnsiTheme="minorHAnsi" w:cstheme="minorHAnsi"/>
                <w:sz w:val="20"/>
                <w:szCs w:val="20"/>
                <w:shd w:val="clear" w:color="auto" w:fill="FFFFFF"/>
                <w:lang w:val="fr-FR"/>
              </w:rPr>
            </w:pPr>
            <w:r w:rsidRPr="007831BA">
              <w:rPr>
                <w:rFonts w:asciiTheme="minorHAnsi" w:hAnsiTheme="minorHAnsi" w:cstheme="minorHAnsi"/>
                <w:lang w:val="fr-FR"/>
              </w:rPr>
              <w:t xml:space="preserve">La vaccination contre la COVID-19 est une mesure essentielle, voire la mesure la plus efficace, pour atténuer les pertes en vies humaines et d’autres perturbations économiques. Bien que la communauté internationale ait apporté d’importantes contributions au financement du vaccin dans les pays africains, il reste à combler un important déficit de financement par l’affectation de ressources intérieures. Il est donc essentiel que les gouvernements africains réfléchissent aux moyens de financer et de distribuer ce nouveau vaccin de manière indépendante, à court et à moyen termes.  </w:t>
            </w:r>
            <w:r w:rsidRPr="007831BA">
              <w:rPr>
                <w:rFonts w:asciiTheme="minorHAnsi" w:hAnsiTheme="minorHAnsi" w:cstheme="minorHAnsi"/>
                <w:shd w:val="clear" w:color="auto" w:fill="FFFFFF"/>
                <w:lang w:val="fr-FR"/>
              </w:rPr>
              <w:t xml:space="preserve">Cet atelier sera l’occasion pour les fonctionnaires des ministères des Finances et de la Santé de tirer des enseignements de l’expérience des pays pairs et des experts sur le financement, l’évaluation des coûts, la budgétisation et la mise en œuvre des programmes de vaccination anti-COVID-19. </w:t>
            </w:r>
          </w:p>
        </w:tc>
      </w:tr>
      <w:tr w:rsidR="00543425" w:rsidRPr="00E84115" w14:paraId="65E68AF8" w14:textId="77777777" w:rsidTr="00BD189C">
        <w:trPr>
          <w:jc w:val="center"/>
        </w:trPr>
        <w:tc>
          <w:tcPr>
            <w:tcW w:w="1113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642B85" w14:textId="77777777" w:rsidR="00223B6D" w:rsidRPr="00B21E9B" w:rsidRDefault="00223B6D" w:rsidP="008E1B41">
            <w:pPr>
              <w:pStyle w:val="Boxtext"/>
              <w:spacing w:before="120" w:after="120"/>
              <w:jc w:val="center"/>
              <w:rPr>
                <w:rFonts w:asciiTheme="minorHAnsi" w:hAnsiTheme="minorHAnsi" w:cstheme="minorHAnsi"/>
                <w:b/>
                <w:lang w:val="pt-PT"/>
              </w:rPr>
            </w:pPr>
            <w:bookmarkStart w:id="0" w:name="_Hlk29805684"/>
            <w:r w:rsidRPr="00B21E9B">
              <w:rPr>
                <w:rFonts w:asciiTheme="minorHAnsi" w:hAnsiTheme="minorHAnsi" w:cstheme="minorHAnsi"/>
                <w:b/>
                <w:lang w:val="pt-PT"/>
              </w:rPr>
              <w:t>Mardi 13 avril 2021 (10h00 à 14h30 TUC +2)</w:t>
            </w:r>
          </w:p>
        </w:tc>
      </w:tr>
      <w:tr w:rsidR="00543425" w:rsidRPr="00E84115" w14:paraId="5B8BC250" w14:textId="77777777" w:rsidTr="00B21E9B">
        <w:trPr>
          <w:cantSplit/>
          <w:jc w:val="center"/>
        </w:trPr>
        <w:tc>
          <w:tcPr>
            <w:tcW w:w="1560" w:type="dxa"/>
          </w:tcPr>
          <w:p w14:paraId="586E3D62" w14:textId="27CE420C" w:rsidR="00223B6D" w:rsidRPr="009A7BBB" w:rsidRDefault="00223B6D" w:rsidP="008E1B41">
            <w:pPr>
              <w:pStyle w:val="Boxtext"/>
              <w:spacing w:before="120" w:after="120"/>
              <w:rPr>
                <w:rFonts w:asciiTheme="minorHAnsi" w:hAnsiTheme="minorHAnsi" w:cstheme="minorHAnsi"/>
                <w:bCs/>
                <w:lang w:val="fr-FR"/>
              </w:rPr>
            </w:pPr>
            <w:r w:rsidRPr="009A7BBB">
              <w:rPr>
                <w:rFonts w:asciiTheme="minorHAnsi" w:hAnsiTheme="minorHAnsi" w:cstheme="minorHAnsi"/>
                <w:bCs/>
                <w:lang w:val="fr-FR"/>
              </w:rPr>
              <w:t>10h00 à 10h</w:t>
            </w:r>
            <w:r w:rsidR="00B21E9B">
              <w:rPr>
                <w:rFonts w:asciiTheme="minorHAnsi" w:hAnsiTheme="minorHAnsi" w:cstheme="minorHAnsi"/>
                <w:bCs/>
                <w:lang w:val="fr-FR"/>
              </w:rPr>
              <w:t>20</w:t>
            </w:r>
            <w:r w:rsidRPr="009A7BBB">
              <w:rPr>
                <w:rFonts w:asciiTheme="minorHAnsi" w:hAnsiTheme="minorHAnsi" w:cstheme="minorHAnsi"/>
                <w:bCs/>
                <w:lang w:val="fr-FR"/>
              </w:rPr>
              <w:t xml:space="preserve"> </w:t>
            </w:r>
          </w:p>
        </w:tc>
        <w:tc>
          <w:tcPr>
            <w:tcW w:w="9576" w:type="dxa"/>
          </w:tcPr>
          <w:p w14:paraId="1835CB05" w14:textId="3359F345" w:rsidR="00223B6D" w:rsidRPr="009A7BBB" w:rsidRDefault="008E565F" w:rsidP="008E1B41">
            <w:pPr>
              <w:spacing w:before="120" w:after="120"/>
              <w:rPr>
                <w:rFonts w:asciiTheme="minorHAnsi" w:hAnsiTheme="minorHAnsi" w:cstheme="minorHAnsi"/>
                <w:lang w:val="fr-FR"/>
              </w:rPr>
            </w:pPr>
            <w:r>
              <w:rPr>
                <w:rFonts w:asciiTheme="minorHAnsi" w:hAnsiTheme="minorHAnsi" w:cstheme="minorHAnsi"/>
                <w:b/>
                <w:bCs/>
                <w:lang w:val="fr-FR"/>
              </w:rPr>
              <w:t>Brève vidéo sur les r</w:t>
            </w:r>
            <w:r w:rsidR="00223B6D" w:rsidRPr="009A7BBB">
              <w:rPr>
                <w:rFonts w:asciiTheme="minorHAnsi" w:hAnsiTheme="minorHAnsi" w:cstheme="minorHAnsi"/>
                <w:b/>
                <w:bCs/>
                <w:lang w:val="fr-FR"/>
              </w:rPr>
              <w:t xml:space="preserve">ègles concernant le déroulement de </w:t>
            </w:r>
            <w:r w:rsidR="00867BAA" w:rsidRPr="009A7BBB">
              <w:rPr>
                <w:rFonts w:asciiTheme="minorHAnsi" w:hAnsiTheme="minorHAnsi" w:cstheme="minorHAnsi"/>
                <w:b/>
                <w:bCs/>
                <w:lang w:val="fr-FR"/>
              </w:rPr>
              <w:t>l’événement</w:t>
            </w:r>
          </w:p>
          <w:p w14:paraId="62BA404D" w14:textId="6C01BC51" w:rsidR="00223B6D" w:rsidRPr="009A7BBB" w:rsidRDefault="00223B6D" w:rsidP="008E1B41">
            <w:pPr>
              <w:spacing w:before="120" w:after="120"/>
              <w:rPr>
                <w:rFonts w:asciiTheme="minorHAnsi" w:hAnsiTheme="minorHAnsi" w:cstheme="minorHAnsi"/>
                <w:lang w:val="fr-FR"/>
              </w:rPr>
            </w:pPr>
            <w:r w:rsidRPr="009A7BBB">
              <w:rPr>
                <w:rFonts w:asciiTheme="minorHAnsi" w:hAnsiTheme="minorHAnsi" w:cstheme="minorHAnsi"/>
                <w:b/>
                <w:bCs/>
                <w:lang w:val="fr-FR"/>
              </w:rPr>
              <w:t>Mot de bienvenue et remarques préliminaires</w:t>
            </w:r>
            <w:r w:rsidRPr="009A7BBB">
              <w:rPr>
                <w:rFonts w:asciiTheme="minorHAnsi" w:hAnsiTheme="minorHAnsi" w:cstheme="minorHAnsi"/>
                <w:lang w:val="fr-FR"/>
              </w:rPr>
              <w:t xml:space="preserve"> par Neil Cole (Secrétaire exécutif de CABRI)</w:t>
            </w:r>
          </w:p>
          <w:p w14:paraId="1E41C0BD" w14:textId="72B384FC" w:rsidR="00223B6D" w:rsidRPr="009A7BBB" w:rsidRDefault="00223B6D" w:rsidP="008E1B41">
            <w:pPr>
              <w:spacing w:before="120" w:after="120"/>
              <w:rPr>
                <w:rFonts w:asciiTheme="minorHAnsi" w:hAnsiTheme="minorHAnsi" w:cstheme="minorHAnsi"/>
                <w:lang w:val="fr-FR"/>
              </w:rPr>
            </w:pPr>
            <w:r w:rsidRPr="009A7BBB">
              <w:rPr>
                <w:rFonts w:asciiTheme="minorHAnsi" w:hAnsiTheme="minorHAnsi" w:cstheme="minorHAnsi"/>
                <w:b/>
                <w:bCs/>
                <w:lang w:val="fr-FR"/>
              </w:rPr>
              <w:t xml:space="preserve">Vue d’ensemble du programme </w:t>
            </w:r>
            <w:r w:rsidRPr="009A7BBB">
              <w:rPr>
                <w:rFonts w:asciiTheme="minorHAnsi" w:hAnsiTheme="minorHAnsi" w:cstheme="minorHAnsi"/>
                <w:lang w:val="fr-FR"/>
              </w:rPr>
              <w:t xml:space="preserve">par Danielle Serebro </w:t>
            </w:r>
            <w:r w:rsidR="00675A7E" w:rsidRPr="009A7BBB">
              <w:rPr>
                <w:rFonts w:asciiTheme="minorHAnsi" w:hAnsiTheme="minorHAnsi" w:cstheme="minorHAnsi"/>
                <w:lang w:val="fr-FR"/>
              </w:rPr>
              <w:t>(</w:t>
            </w:r>
            <w:r w:rsidR="00675A7E">
              <w:rPr>
                <w:rFonts w:asciiTheme="minorHAnsi" w:hAnsiTheme="minorHAnsi" w:cstheme="minorHAnsi"/>
                <w:lang w:val="fr-FR"/>
              </w:rPr>
              <w:t>Responsable intérimaire de programme</w:t>
            </w:r>
            <w:r w:rsidR="00675A7E" w:rsidRPr="009A7BBB">
              <w:rPr>
                <w:rFonts w:asciiTheme="minorHAnsi" w:hAnsiTheme="minorHAnsi" w:cstheme="minorHAnsi"/>
                <w:lang w:val="fr-FR"/>
              </w:rPr>
              <w:t xml:space="preserve"> de CABRI)</w:t>
            </w:r>
          </w:p>
        </w:tc>
      </w:tr>
      <w:tr w:rsidR="00543425" w:rsidRPr="00314AF5" w14:paraId="65DB39A1" w14:textId="77777777" w:rsidTr="00B21E9B">
        <w:trPr>
          <w:cantSplit/>
          <w:jc w:val="center"/>
        </w:trPr>
        <w:tc>
          <w:tcPr>
            <w:tcW w:w="1560" w:type="dxa"/>
          </w:tcPr>
          <w:p w14:paraId="1BAA64FC" w14:textId="77777777" w:rsidR="00223B6D" w:rsidRPr="009A7BBB" w:rsidRDefault="00223B6D" w:rsidP="008E1B41">
            <w:pPr>
              <w:pStyle w:val="Boxtext"/>
              <w:spacing w:before="120" w:after="120"/>
              <w:rPr>
                <w:rFonts w:asciiTheme="minorHAnsi" w:hAnsiTheme="minorHAnsi" w:cstheme="minorHAnsi"/>
                <w:b/>
                <w:lang w:val="fr-FR"/>
              </w:rPr>
            </w:pPr>
            <w:r w:rsidRPr="009A7BBB">
              <w:rPr>
                <w:rFonts w:asciiTheme="minorHAnsi" w:hAnsiTheme="minorHAnsi" w:cstheme="minorHAnsi"/>
                <w:b/>
                <w:lang w:val="fr-FR"/>
              </w:rPr>
              <w:lastRenderedPageBreak/>
              <w:t>Séance 1</w:t>
            </w:r>
          </w:p>
          <w:p w14:paraId="72F0DCED" w14:textId="00A9F6F6" w:rsidR="00223B6D" w:rsidRPr="009A7BBB" w:rsidRDefault="00223B6D" w:rsidP="008E1B41">
            <w:pPr>
              <w:pStyle w:val="Boxtext"/>
              <w:spacing w:before="120" w:after="120"/>
              <w:rPr>
                <w:rFonts w:asciiTheme="minorHAnsi" w:hAnsiTheme="minorHAnsi" w:cstheme="minorHAnsi"/>
                <w:b/>
                <w:lang w:val="fr-FR"/>
              </w:rPr>
            </w:pPr>
            <w:r w:rsidRPr="009A7BBB">
              <w:rPr>
                <w:rFonts w:asciiTheme="minorHAnsi" w:hAnsiTheme="minorHAnsi" w:cstheme="minorHAnsi"/>
                <w:lang w:val="fr-FR"/>
              </w:rPr>
              <w:t>10h</w:t>
            </w:r>
            <w:r w:rsidR="00B21E9B">
              <w:rPr>
                <w:rFonts w:asciiTheme="minorHAnsi" w:hAnsiTheme="minorHAnsi" w:cstheme="minorHAnsi"/>
                <w:lang w:val="fr-FR"/>
              </w:rPr>
              <w:t>20</w:t>
            </w:r>
            <w:r w:rsidRPr="009A7BBB">
              <w:rPr>
                <w:rFonts w:asciiTheme="minorHAnsi" w:hAnsiTheme="minorHAnsi" w:cstheme="minorHAnsi"/>
                <w:lang w:val="fr-FR"/>
              </w:rPr>
              <w:t xml:space="preserve"> à 11h</w:t>
            </w:r>
            <w:r w:rsidR="00314AF5">
              <w:rPr>
                <w:rFonts w:asciiTheme="minorHAnsi" w:hAnsiTheme="minorHAnsi" w:cstheme="minorHAnsi"/>
                <w:lang w:val="fr-FR"/>
              </w:rPr>
              <w:t>20</w:t>
            </w:r>
          </w:p>
        </w:tc>
        <w:tc>
          <w:tcPr>
            <w:tcW w:w="9576" w:type="dxa"/>
          </w:tcPr>
          <w:p w14:paraId="1D5877F2" w14:textId="77777777" w:rsidR="00223B6D" w:rsidRPr="009A7BBB" w:rsidRDefault="00223B6D" w:rsidP="008E1B41">
            <w:pPr>
              <w:spacing w:before="120" w:after="120"/>
              <w:rPr>
                <w:rFonts w:asciiTheme="minorHAnsi" w:eastAsiaTheme="minorHAnsi" w:hAnsiTheme="minorHAnsi" w:cstheme="minorHAnsi"/>
                <w:b/>
                <w:lang w:val="fr-FR"/>
              </w:rPr>
            </w:pPr>
            <w:r w:rsidRPr="009A7BBB">
              <w:rPr>
                <w:rFonts w:asciiTheme="minorHAnsi" w:hAnsiTheme="minorHAnsi" w:cstheme="minorHAnsi"/>
                <w:b/>
                <w:lang w:val="fr-FR"/>
              </w:rPr>
              <w:t>Réunion-débat : Les arguments économiques en faveur de la vaccination contre la COVID-19</w:t>
            </w:r>
          </w:p>
          <w:p w14:paraId="65FE3E87" w14:textId="3A0C17D8" w:rsidR="00223B6D" w:rsidRPr="009A7BBB" w:rsidRDefault="00223B6D" w:rsidP="008E1B41">
            <w:pPr>
              <w:spacing w:before="120" w:after="120"/>
              <w:jc w:val="both"/>
              <w:rPr>
                <w:rFonts w:asciiTheme="minorHAnsi" w:eastAsia="Times New Roman" w:hAnsiTheme="minorHAnsi" w:cstheme="minorHAnsi"/>
                <w:lang w:val="fr-FR" w:eastAsia="en-ZA"/>
              </w:rPr>
            </w:pPr>
            <w:r w:rsidRPr="009A7BBB">
              <w:rPr>
                <w:rFonts w:asciiTheme="minorHAnsi" w:hAnsiTheme="minorHAnsi" w:cstheme="minorHAnsi"/>
                <w:lang w:val="fr-FR"/>
              </w:rPr>
              <w:t xml:space="preserve">On reconnaît de plus en plus que les avantages sociétaux du vaccin anti-COVID-19 sont de loin supérieurs aux coûts qui y sont associés ; on estime que pour </w:t>
            </w:r>
            <w:r w:rsidRPr="009A7BBB">
              <w:rPr>
                <w:rFonts w:asciiTheme="minorHAnsi" w:hAnsiTheme="minorHAnsi" w:cstheme="minorHAnsi"/>
                <w:spacing w:val="3"/>
                <w:shd w:val="clear" w:color="auto" w:fill="FFFFFF"/>
                <w:lang w:val="fr-FR"/>
              </w:rPr>
              <w:t xml:space="preserve">chaque mois sans vaccin, le continent africain perd 13,8 milliards d’USD de PIB. </w:t>
            </w:r>
            <w:r w:rsidRPr="009A7BBB">
              <w:rPr>
                <w:rFonts w:asciiTheme="minorHAnsi" w:hAnsiTheme="minorHAnsi" w:cstheme="minorHAnsi"/>
                <w:lang w:val="fr-FR"/>
              </w:rPr>
              <w:t xml:space="preserve">Toutefois, </w:t>
            </w:r>
            <w:r w:rsidRPr="009A7BBB">
              <w:rPr>
                <w:rFonts w:asciiTheme="minorHAnsi" w:hAnsiTheme="minorHAnsi" w:cstheme="minorHAnsi"/>
                <w:lang w:val="fr-FR" w:eastAsia="en-ZA"/>
              </w:rPr>
              <w:t>l’achat et l’administration des vaccins sont un exercice coûteux qui survient à un moment où les gouvernements africains disposent d’un espace budgétaire encore plus réduit que d’habitude.</w:t>
            </w:r>
            <w:r w:rsidRPr="009A7BBB">
              <w:rPr>
                <w:rFonts w:asciiTheme="minorHAnsi" w:hAnsiTheme="minorHAnsi" w:cstheme="minorHAnsi"/>
                <w:lang w:val="fr-FR"/>
              </w:rPr>
              <w:t xml:space="preserve"> </w:t>
            </w:r>
            <w:r w:rsidRPr="009A7BBB">
              <w:rPr>
                <w:rFonts w:asciiTheme="minorHAnsi" w:hAnsiTheme="minorHAnsi" w:cstheme="minorHAnsi"/>
                <w:lang w:val="fr-FR" w:eastAsia="en-ZA"/>
              </w:rPr>
              <w:t>De nombreux gouvernements africains comptent donc exclusivement sur la communauté du développement pour financer le vaccin contre la COVID-19 ; toutefois, il est</w:t>
            </w:r>
            <w:r w:rsidRPr="009A7BBB">
              <w:rPr>
                <w:rFonts w:asciiTheme="minorHAnsi" w:hAnsiTheme="minorHAnsi" w:cstheme="minorHAnsi"/>
                <w:lang w:val="fr-FR"/>
              </w:rPr>
              <w:t xml:space="preserve"> peu probable que cela soit suffisant</w:t>
            </w:r>
            <w:r w:rsidRPr="009A7BBB">
              <w:rPr>
                <w:rFonts w:asciiTheme="minorHAnsi" w:eastAsia="Times New Roman" w:hAnsiTheme="minorHAnsi" w:cstheme="minorHAnsi"/>
                <w:lang w:val="fr-FR" w:eastAsia="en-ZA"/>
              </w:rPr>
              <w:t xml:space="preserve">. </w:t>
            </w:r>
          </w:p>
          <w:p w14:paraId="65B1A30C" w14:textId="77777777" w:rsidR="00223B6D" w:rsidRPr="009A7BBB" w:rsidRDefault="00223B6D" w:rsidP="008E1B41">
            <w:pPr>
              <w:spacing w:before="120" w:after="120"/>
              <w:jc w:val="both"/>
              <w:rPr>
                <w:rFonts w:asciiTheme="minorHAnsi" w:eastAsia="Times New Roman" w:hAnsiTheme="minorHAnsi" w:cstheme="minorHAnsi"/>
                <w:lang w:val="fr-FR" w:eastAsia="en-ZA"/>
              </w:rPr>
            </w:pPr>
            <w:r w:rsidRPr="009A7BBB">
              <w:rPr>
                <w:rFonts w:asciiTheme="minorHAnsi" w:hAnsiTheme="minorHAnsi" w:cstheme="minorHAnsi"/>
                <w:lang w:val="fr-FR" w:eastAsia="en-ZA"/>
              </w:rPr>
              <w:t>Quelles ont été les tendances observées en matière de budgétisation du vaccin à travers le continent et que faut-il faire pour convaincre les décideurs politiques que la budgétisation du vaccin anti-COVID-19 est une nécessité lorsqu’il peut évincer d’autres dépenses prioritaires </w:t>
            </w:r>
            <w:r w:rsidRPr="009A7BBB">
              <w:rPr>
                <w:rFonts w:asciiTheme="minorHAnsi" w:eastAsia="Times New Roman" w:hAnsiTheme="minorHAnsi" w:cstheme="minorHAnsi"/>
                <w:lang w:val="fr-FR" w:eastAsia="en-ZA"/>
              </w:rPr>
              <w:t>?</w:t>
            </w:r>
          </w:p>
          <w:p w14:paraId="6AC8F3AD" w14:textId="77777777" w:rsidR="00223B6D" w:rsidRPr="009A7BBB" w:rsidRDefault="00223B6D" w:rsidP="008E1B41">
            <w:pPr>
              <w:spacing w:before="120" w:after="120"/>
              <w:jc w:val="both"/>
              <w:rPr>
                <w:rFonts w:asciiTheme="minorHAnsi" w:eastAsia="Times New Roman" w:hAnsiTheme="minorHAnsi" w:cstheme="minorHAnsi"/>
                <w:b/>
                <w:bCs/>
                <w:lang w:val="fr-FR" w:eastAsia="en-ZA"/>
              </w:rPr>
            </w:pPr>
            <w:r w:rsidRPr="009A7BBB">
              <w:rPr>
                <w:rFonts w:asciiTheme="minorHAnsi" w:eastAsia="Times New Roman" w:hAnsiTheme="minorHAnsi" w:cstheme="minorHAnsi"/>
                <w:b/>
                <w:bCs/>
                <w:lang w:val="fr-FR" w:eastAsia="en-ZA"/>
              </w:rPr>
              <w:t xml:space="preserve">Spécialistes : </w:t>
            </w:r>
          </w:p>
          <w:p w14:paraId="17914B00" w14:textId="464A1049" w:rsidR="00314AF5" w:rsidRPr="00314AF5" w:rsidRDefault="00314AF5" w:rsidP="00314AF5">
            <w:pPr>
              <w:spacing w:before="120" w:after="120"/>
              <w:jc w:val="both"/>
              <w:rPr>
                <w:rFonts w:asciiTheme="minorHAnsi" w:eastAsiaTheme="minorHAnsi" w:hAnsiTheme="minorHAnsi" w:cstheme="minorHAnsi"/>
                <w:bCs/>
                <w:lang w:val="fr-FR"/>
              </w:rPr>
            </w:pPr>
            <w:r w:rsidRPr="00314AF5">
              <w:rPr>
                <w:rFonts w:asciiTheme="minorHAnsi" w:eastAsiaTheme="minorHAnsi" w:hAnsiTheme="minorHAnsi" w:cstheme="minorHAnsi"/>
                <w:bCs/>
                <w:lang w:val="fr-FR"/>
              </w:rPr>
              <w:t xml:space="preserve">Dr Daniel </w:t>
            </w:r>
            <w:proofErr w:type="spellStart"/>
            <w:r w:rsidRPr="00314AF5">
              <w:rPr>
                <w:rFonts w:asciiTheme="minorHAnsi" w:eastAsiaTheme="minorHAnsi" w:hAnsiTheme="minorHAnsi" w:cstheme="minorHAnsi"/>
                <w:bCs/>
                <w:lang w:val="fr-FR"/>
              </w:rPr>
              <w:t>Gebre-Michael</w:t>
            </w:r>
            <w:proofErr w:type="spellEnd"/>
            <w:r w:rsidRPr="00314AF5">
              <w:rPr>
                <w:rFonts w:asciiTheme="minorHAnsi" w:eastAsiaTheme="minorHAnsi" w:hAnsiTheme="minorHAnsi" w:cstheme="minorHAnsi"/>
                <w:bCs/>
                <w:lang w:val="fr-FR"/>
              </w:rPr>
              <w:t xml:space="preserve"> </w:t>
            </w:r>
            <w:proofErr w:type="spellStart"/>
            <w:r w:rsidRPr="00314AF5">
              <w:rPr>
                <w:rFonts w:asciiTheme="minorHAnsi" w:eastAsiaTheme="minorHAnsi" w:hAnsiTheme="minorHAnsi" w:cstheme="minorHAnsi"/>
                <w:bCs/>
                <w:lang w:val="fr-FR"/>
              </w:rPr>
              <w:t>Burssa</w:t>
            </w:r>
            <w:proofErr w:type="spellEnd"/>
            <w:r w:rsidRPr="00314AF5">
              <w:rPr>
                <w:rFonts w:asciiTheme="minorHAnsi" w:eastAsiaTheme="minorHAnsi" w:hAnsiTheme="minorHAnsi" w:cstheme="minorHAnsi"/>
                <w:bCs/>
                <w:lang w:val="fr-FR"/>
              </w:rPr>
              <w:t xml:space="preserve"> (Conseiller principal auprès du ministre de la Santé : Ministère fédéral de la santé, Éthiopie)</w:t>
            </w:r>
          </w:p>
          <w:p w14:paraId="3BF709DB" w14:textId="77777777" w:rsidR="00314AF5" w:rsidRPr="00314AF5" w:rsidRDefault="00314AF5" w:rsidP="00314AF5">
            <w:pPr>
              <w:spacing w:before="120" w:after="120"/>
              <w:jc w:val="both"/>
              <w:rPr>
                <w:rFonts w:asciiTheme="minorHAnsi" w:eastAsiaTheme="minorHAnsi" w:hAnsiTheme="minorHAnsi" w:cstheme="minorHAnsi"/>
                <w:bCs/>
                <w:lang w:val="fr-FR"/>
              </w:rPr>
            </w:pPr>
            <w:r w:rsidRPr="00314AF5">
              <w:rPr>
                <w:rFonts w:asciiTheme="minorHAnsi" w:eastAsiaTheme="minorHAnsi" w:hAnsiTheme="minorHAnsi" w:cstheme="minorHAnsi"/>
                <w:bCs/>
                <w:lang w:val="fr-FR"/>
              </w:rPr>
              <w:t>Dr Philipp Krause (Conseiller principal, CABRI)</w:t>
            </w:r>
          </w:p>
          <w:p w14:paraId="0F41DBA5" w14:textId="1148D023" w:rsidR="00314AF5" w:rsidRPr="00314AF5" w:rsidRDefault="00314AF5" w:rsidP="00314AF5">
            <w:pPr>
              <w:spacing w:before="120" w:after="120"/>
              <w:jc w:val="both"/>
              <w:rPr>
                <w:rFonts w:asciiTheme="minorHAnsi" w:eastAsiaTheme="minorHAnsi" w:hAnsiTheme="minorHAnsi" w:cstheme="minorHAnsi"/>
                <w:bCs/>
                <w:lang w:val="fr-FR"/>
              </w:rPr>
            </w:pPr>
            <w:r w:rsidRPr="00314AF5">
              <w:rPr>
                <w:rFonts w:asciiTheme="minorHAnsi" w:eastAsiaTheme="minorHAnsi" w:hAnsiTheme="minorHAnsi" w:cstheme="minorHAnsi"/>
                <w:bCs/>
                <w:lang w:val="fr-FR"/>
              </w:rPr>
              <w:t xml:space="preserve">Ahmed </w:t>
            </w:r>
            <w:proofErr w:type="spellStart"/>
            <w:r w:rsidRPr="00314AF5">
              <w:rPr>
                <w:rFonts w:asciiTheme="minorHAnsi" w:eastAsiaTheme="minorHAnsi" w:hAnsiTheme="minorHAnsi" w:cstheme="minorHAnsi"/>
                <w:bCs/>
                <w:lang w:val="fr-FR"/>
              </w:rPr>
              <w:t>Kouchouk</w:t>
            </w:r>
            <w:proofErr w:type="spellEnd"/>
            <w:r w:rsidRPr="00314AF5">
              <w:rPr>
                <w:rFonts w:asciiTheme="minorHAnsi" w:eastAsiaTheme="minorHAnsi" w:hAnsiTheme="minorHAnsi" w:cstheme="minorHAnsi"/>
                <w:bCs/>
                <w:lang w:val="fr-FR"/>
              </w:rPr>
              <w:t xml:space="preserve"> (Vice-Ministre des Finances pour les Politiques Fiscales et </w:t>
            </w:r>
            <w:r>
              <w:rPr>
                <w:rFonts w:asciiTheme="minorHAnsi" w:eastAsiaTheme="minorHAnsi" w:hAnsiTheme="minorHAnsi" w:cstheme="minorHAnsi"/>
                <w:bCs/>
                <w:lang w:val="fr-FR"/>
              </w:rPr>
              <w:t xml:space="preserve">de la </w:t>
            </w:r>
            <w:r w:rsidRPr="00314AF5">
              <w:rPr>
                <w:rFonts w:asciiTheme="minorHAnsi" w:eastAsiaTheme="minorHAnsi" w:hAnsiTheme="minorHAnsi" w:cstheme="minorHAnsi"/>
                <w:bCs/>
                <w:lang w:val="fr-FR"/>
              </w:rPr>
              <w:t xml:space="preserve">Réforme Institutionnelle, </w:t>
            </w:r>
            <w:proofErr w:type="gramStart"/>
            <w:r w:rsidRPr="00314AF5">
              <w:rPr>
                <w:rFonts w:asciiTheme="minorHAnsi" w:eastAsiaTheme="minorHAnsi" w:hAnsiTheme="minorHAnsi" w:cstheme="minorHAnsi"/>
                <w:bCs/>
                <w:lang w:val="fr-FR"/>
              </w:rPr>
              <w:t>Ministère</w:t>
            </w:r>
            <w:proofErr w:type="gramEnd"/>
            <w:r w:rsidRPr="00314AF5">
              <w:rPr>
                <w:rFonts w:asciiTheme="minorHAnsi" w:eastAsiaTheme="minorHAnsi" w:hAnsiTheme="minorHAnsi" w:cstheme="minorHAnsi"/>
                <w:bCs/>
                <w:lang w:val="fr-FR"/>
              </w:rPr>
              <w:t xml:space="preserve"> des Finances, Égypte)</w:t>
            </w:r>
          </w:p>
          <w:p w14:paraId="6C940E8C" w14:textId="08509142" w:rsidR="00314AF5" w:rsidRPr="007831BA" w:rsidRDefault="00314AF5" w:rsidP="00314AF5">
            <w:pPr>
              <w:spacing w:before="120" w:after="120"/>
              <w:jc w:val="both"/>
              <w:rPr>
                <w:rFonts w:asciiTheme="minorHAnsi" w:eastAsiaTheme="minorHAnsi" w:hAnsiTheme="minorHAnsi" w:cstheme="minorHAnsi"/>
                <w:bCs/>
                <w:lang w:val="fr-FR"/>
              </w:rPr>
            </w:pPr>
            <w:proofErr w:type="spellStart"/>
            <w:r w:rsidRPr="007831BA">
              <w:rPr>
                <w:rFonts w:asciiTheme="minorHAnsi" w:eastAsiaTheme="minorHAnsi" w:hAnsiTheme="minorHAnsi" w:cstheme="minorHAnsi"/>
                <w:bCs/>
                <w:lang w:val="fr-FR"/>
              </w:rPr>
              <w:t>Gyude</w:t>
            </w:r>
            <w:proofErr w:type="spellEnd"/>
            <w:r w:rsidRPr="007831BA">
              <w:rPr>
                <w:rFonts w:asciiTheme="minorHAnsi" w:eastAsiaTheme="minorHAnsi" w:hAnsiTheme="minorHAnsi" w:cstheme="minorHAnsi"/>
                <w:bCs/>
                <w:lang w:val="fr-FR"/>
              </w:rPr>
              <w:t xml:space="preserve"> Moore (Charg</w:t>
            </w:r>
            <w:r w:rsidRPr="009A7BBB">
              <w:rPr>
                <w:rFonts w:asciiTheme="minorHAnsi" w:hAnsiTheme="minorHAnsi" w:cstheme="minorHAnsi"/>
                <w:lang w:val="fr-FR" w:eastAsia="en-ZA"/>
              </w:rPr>
              <w:t>é</w:t>
            </w:r>
            <w:r w:rsidRPr="007831BA">
              <w:rPr>
                <w:rFonts w:asciiTheme="minorHAnsi" w:eastAsiaTheme="minorHAnsi" w:hAnsiTheme="minorHAnsi" w:cstheme="minorHAnsi"/>
                <w:bCs/>
                <w:lang w:val="fr-FR"/>
              </w:rPr>
              <w:t xml:space="preserve"> de politiques </w:t>
            </w:r>
            <w:r w:rsidR="007831BA" w:rsidRPr="007831BA">
              <w:rPr>
                <w:rFonts w:asciiTheme="minorHAnsi" w:eastAsiaTheme="minorHAnsi" w:hAnsiTheme="minorHAnsi" w:cstheme="minorHAnsi"/>
                <w:bCs/>
                <w:lang w:val="fr-FR"/>
              </w:rPr>
              <w:t>principal :</w:t>
            </w:r>
            <w:r w:rsidRPr="007831BA">
              <w:rPr>
                <w:rFonts w:asciiTheme="minorHAnsi" w:eastAsiaTheme="minorHAnsi" w:hAnsiTheme="minorHAnsi" w:cstheme="minorHAnsi"/>
                <w:bCs/>
                <w:lang w:val="fr-FR"/>
              </w:rPr>
              <w:t xml:space="preserve"> </w:t>
            </w:r>
            <w:r w:rsidRPr="007831BA">
              <w:rPr>
                <w:rFonts w:asciiTheme="minorHAnsi" w:eastAsiaTheme="minorHAnsi" w:hAnsiTheme="minorHAnsi" w:cstheme="minorHAnsi"/>
                <w:bCs/>
                <w:i/>
                <w:iCs/>
                <w:lang w:val="fr-FR"/>
              </w:rPr>
              <w:t xml:space="preserve">Center for Global </w:t>
            </w:r>
            <w:proofErr w:type="spellStart"/>
            <w:r w:rsidRPr="007831BA">
              <w:rPr>
                <w:rFonts w:asciiTheme="minorHAnsi" w:eastAsiaTheme="minorHAnsi" w:hAnsiTheme="minorHAnsi" w:cstheme="minorHAnsi"/>
                <w:bCs/>
                <w:i/>
                <w:iCs/>
                <w:lang w:val="fr-FR"/>
              </w:rPr>
              <w:t>Development</w:t>
            </w:r>
            <w:proofErr w:type="spellEnd"/>
            <w:r w:rsidRPr="007831BA">
              <w:rPr>
                <w:rFonts w:asciiTheme="minorHAnsi" w:eastAsiaTheme="minorHAnsi" w:hAnsiTheme="minorHAnsi" w:cstheme="minorHAnsi"/>
                <w:bCs/>
                <w:lang w:val="fr-FR"/>
              </w:rPr>
              <w:t>)</w:t>
            </w:r>
          </w:p>
          <w:p w14:paraId="4839A0D0" w14:textId="4734DF7E" w:rsidR="00223B6D" w:rsidRPr="009A7BBB" w:rsidRDefault="00314AF5" w:rsidP="00314AF5">
            <w:pPr>
              <w:spacing w:before="120" w:after="120"/>
              <w:jc w:val="both"/>
              <w:rPr>
                <w:rFonts w:asciiTheme="minorHAnsi" w:eastAsiaTheme="minorHAnsi" w:hAnsiTheme="minorHAnsi" w:cstheme="minorHAnsi"/>
                <w:bCs/>
                <w:lang w:val="fr-FR"/>
              </w:rPr>
            </w:pPr>
            <w:r w:rsidRPr="00314AF5">
              <w:rPr>
                <w:rFonts w:asciiTheme="minorHAnsi" w:eastAsiaTheme="minorHAnsi" w:hAnsiTheme="minorHAnsi" w:cstheme="minorHAnsi"/>
                <w:b/>
                <w:lang w:val="fr-FR"/>
              </w:rPr>
              <w:t>Modératrice :</w:t>
            </w:r>
            <w:r w:rsidRPr="00314AF5">
              <w:rPr>
                <w:rFonts w:asciiTheme="minorHAnsi" w:eastAsiaTheme="minorHAnsi" w:hAnsiTheme="minorHAnsi" w:cstheme="minorHAnsi"/>
                <w:bCs/>
                <w:lang w:val="fr-FR"/>
              </w:rPr>
              <w:t xml:space="preserve"> Fifi Peters (</w:t>
            </w:r>
            <w:proofErr w:type="spellStart"/>
            <w:r w:rsidRPr="00314AF5">
              <w:rPr>
                <w:rFonts w:asciiTheme="minorHAnsi" w:eastAsiaTheme="minorHAnsi" w:hAnsiTheme="minorHAnsi" w:cstheme="minorHAnsi"/>
                <w:bCs/>
                <w:lang w:val="fr-FR"/>
              </w:rPr>
              <w:t>CNBC</w:t>
            </w:r>
            <w:proofErr w:type="spellEnd"/>
            <w:r w:rsidRPr="00314AF5">
              <w:rPr>
                <w:rFonts w:asciiTheme="minorHAnsi" w:eastAsiaTheme="minorHAnsi" w:hAnsiTheme="minorHAnsi" w:cstheme="minorHAnsi"/>
                <w:bCs/>
                <w:lang w:val="fr-FR"/>
              </w:rPr>
              <w:t xml:space="preserve"> </w:t>
            </w:r>
            <w:proofErr w:type="spellStart"/>
            <w:r w:rsidRPr="00314AF5">
              <w:rPr>
                <w:rFonts w:asciiTheme="minorHAnsi" w:eastAsiaTheme="minorHAnsi" w:hAnsiTheme="minorHAnsi" w:cstheme="minorHAnsi"/>
                <w:bCs/>
                <w:lang w:val="fr-FR"/>
              </w:rPr>
              <w:t>Africa</w:t>
            </w:r>
            <w:proofErr w:type="spellEnd"/>
            <w:r w:rsidRPr="00314AF5">
              <w:rPr>
                <w:rFonts w:asciiTheme="minorHAnsi" w:eastAsiaTheme="minorHAnsi" w:hAnsiTheme="minorHAnsi" w:cstheme="minorHAnsi"/>
                <w:bCs/>
                <w:lang w:val="fr-FR"/>
              </w:rPr>
              <w:t>)</w:t>
            </w:r>
            <w:r w:rsidR="00223B6D" w:rsidRPr="009A7BBB">
              <w:rPr>
                <w:rFonts w:asciiTheme="minorHAnsi" w:eastAsiaTheme="minorHAnsi" w:hAnsiTheme="minorHAnsi" w:cstheme="minorHAnsi"/>
                <w:bCs/>
                <w:lang w:val="fr-FR"/>
              </w:rPr>
              <w:t xml:space="preserve"> </w:t>
            </w:r>
          </w:p>
        </w:tc>
      </w:tr>
      <w:tr w:rsidR="00543425" w:rsidRPr="009A7BBB" w14:paraId="2B0F055C" w14:textId="77777777" w:rsidTr="00B21E9B">
        <w:trPr>
          <w:cantSplit/>
          <w:jc w:val="center"/>
        </w:trPr>
        <w:tc>
          <w:tcPr>
            <w:tcW w:w="1560" w:type="dxa"/>
          </w:tcPr>
          <w:p w14:paraId="263ECF2C" w14:textId="600878DF" w:rsidR="00223B6D" w:rsidRPr="009A7BBB" w:rsidRDefault="00223B6D" w:rsidP="008E1B41">
            <w:pPr>
              <w:pStyle w:val="Boxtext"/>
              <w:spacing w:before="120" w:after="120"/>
              <w:rPr>
                <w:rFonts w:asciiTheme="minorHAnsi" w:hAnsiTheme="minorHAnsi" w:cstheme="minorHAnsi"/>
                <w:bCs/>
                <w:lang w:val="fr-FR"/>
              </w:rPr>
            </w:pPr>
            <w:r w:rsidRPr="009A7BBB">
              <w:rPr>
                <w:rFonts w:asciiTheme="minorHAnsi" w:hAnsiTheme="minorHAnsi" w:cstheme="minorHAnsi"/>
                <w:bCs/>
                <w:lang w:val="fr-FR"/>
              </w:rPr>
              <w:t>11h</w:t>
            </w:r>
            <w:r w:rsidR="00314AF5">
              <w:rPr>
                <w:rFonts w:asciiTheme="minorHAnsi" w:hAnsiTheme="minorHAnsi" w:cstheme="minorHAnsi"/>
                <w:bCs/>
                <w:lang w:val="fr-FR"/>
              </w:rPr>
              <w:t>20</w:t>
            </w:r>
            <w:r w:rsidRPr="009A7BBB">
              <w:rPr>
                <w:rFonts w:asciiTheme="minorHAnsi" w:hAnsiTheme="minorHAnsi" w:cstheme="minorHAnsi"/>
                <w:bCs/>
                <w:lang w:val="fr-FR"/>
              </w:rPr>
              <w:t xml:space="preserve"> à 11h2</w:t>
            </w:r>
            <w:r w:rsidR="00314AF5">
              <w:rPr>
                <w:rFonts w:asciiTheme="minorHAnsi" w:hAnsiTheme="minorHAnsi" w:cstheme="minorHAnsi"/>
                <w:bCs/>
                <w:lang w:val="fr-FR"/>
              </w:rPr>
              <w:t>5</w:t>
            </w:r>
            <w:r w:rsidRPr="009A7BBB">
              <w:rPr>
                <w:rFonts w:asciiTheme="minorHAnsi" w:hAnsiTheme="minorHAnsi" w:cstheme="minorHAnsi"/>
                <w:bCs/>
                <w:lang w:val="fr-FR"/>
              </w:rPr>
              <w:t xml:space="preserve"> </w:t>
            </w:r>
          </w:p>
        </w:tc>
        <w:tc>
          <w:tcPr>
            <w:tcW w:w="9576" w:type="dxa"/>
          </w:tcPr>
          <w:p w14:paraId="529EA439" w14:textId="47A577AA" w:rsidR="00223B6D" w:rsidRPr="00B21E9B" w:rsidRDefault="00223B6D" w:rsidP="00B21E9B">
            <w:pPr>
              <w:spacing w:before="120" w:after="120"/>
              <w:rPr>
                <w:rFonts w:asciiTheme="minorHAnsi" w:eastAsiaTheme="minorHAnsi" w:hAnsiTheme="minorHAnsi" w:cstheme="minorHAnsi"/>
                <w:bCs/>
                <w:lang w:val="fr-FR"/>
              </w:rPr>
            </w:pPr>
            <w:r w:rsidRPr="009A7BBB">
              <w:rPr>
                <w:rFonts w:asciiTheme="minorHAnsi" w:eastAsiaTheme="minorHAnsi" w:hAnsiTheme="minorHAnsi" w:cstheme="minorHAnsi"/>
                <w:bCs/>
                <w:lang w:val="fr-FR"/>
              </w:rPr>
              <w:t>Pause co</w:t>
            </w:r>
            <w:r>
              <w:rPr>
                <w:rFonts w:asciiTheme="minorHAnsi" w:eastAsiaTheme="minorHAnsi" w:hAnsiTheme="minorHAnsi" w:cstheme="minorHAnsi"/>
                <w:bCs/>
                <w:lang w:val="fr-FR"/>
              </w:rPr>
              <w:t>n</w:t>
            </w:r>
            <w:r w:rsidRPr="009A7BBB">
              <w:rPr>
                <w:rFonts w:asciiTheme="minorHAnsi" w:eastAsiaTheme="minorHAnsi" w:hAnsiTheme="minorHAnsi" w:cstheme="minorHAnsi"/>
                <w:bCs/>
                <w:lang w:val="fr-FR"/>
              </w:rPr>
              <w:t xml:space="preserve">fort </w:t>
            </w:r>
            <w:r>
              <w:rPr>
                <w:rFonts w:asciiTheme="minorHAnsi" w:eastAsiaTheme="minorHAnsi" w:hAnsiTheme="minorHAnsi" w:cstheme="minorHAnsi"/>
                <w:lang w:val="fr-FR"/>
              </w:rPr>
              <w:tab/>
            </w:r>
          </w:p>
        </w:tc>
      </w:tr>
      <w:tr w:rsidR="00543425" w:rsidRPr="00E84115" w14:paraId="11338404" w14:textId="77777777" w:rsidTr="00B21E9B">
        <w:trPr>
          <w:cantSplit/>
          <w:jc w:val="center"/>
        </w:trPr>
        <w:tc>
          <w:tcPr>
            <w:tcW w:w="1560" w:type="dxa"/>
          </w:tcPr>
          <w:p w14:paraId="0F7AA186" w14:textId="77777777" w:rsidR="00223B6D" w:rsidRPr="009A7BBB" w:rsidRDefault="00223B6D" w:rsidP="00223B6D">
            <w:pPr>
              <w:pStyle w:val="Boxtext"/>
              <w:spacing w:before="120" w:after="120"/>
              <w:rPr>
                <w:rFonts w:asciiTheme="minorHAnsi" w:hAnsiTheme="minorHAnsi" w:cstheme="minorHAnsi"/>
                <w:b/>
                <w:lang w:val="fr-FR"/>
              </w:rPr>
            </w:pPr>
            <w:r w:rsidRPr="009A7BBB">
              <w:rPr>
                <w:rFonts w:asciiTheme="minorHAnsi" w:hAnsiTheme="minorHAnsi" w:cstheme="minorHAnsi"/>
                <w:b/>
                <w:lang w:val="fr-FR"/>
              </w:rPr>
              <w:t>Séance 2</w:t>
            </w:r>
          </w:p>
          <w:p w14:paraId="0791CA1A" w14:textId="664294B8" w:rsidR="00223B6D" w:rsidRPr="009A7BBB" w:rsidRDefault="00223B6D" w:rsidP="00223B6D">
            <w:pPr>
              <w:pStyle w:val="Boxtext"/>
              <w:spacing w:before="120" w:after="120"/>
              <w:rPr>
                <w:rFonts w:asciiTheme="minorHAnsi" w:hAnsiTheme="minorHAnsi" w:cstheme="minorHAnsi"/>
                <w:lang w:val="fr-FR"/>
              </w:rPr>
            </w:pPr>
            <w:r w:rsidRPr="009A7BBB">
              <w:rPr>
                <w:rFonts w:asciiTheme="minorHAnsi" w:hAnsiTheme="minorHAnsi" w:cstheme="minorHAnsi"/>
                <w:lang w:val="fr-FR"/>
              </w:rPr>
              <w:t>11h</w:t>
            </w:r>
            <w:r w:rsidR="00314AF5">
              <w:rPr>
                <w:rFonts w:asciiTheme="minorHAnsi" w:hAnsiTheme="minorHAnsi" w:cstheme="minorHAnsi"/>
                <w:lang w:val="fr-FR"/>
              </w:rPr>
              <w:t>25</w:t>
            </w:r>
            <w:r w:rsidRPr="009A7BBB">
              <w:rPr>
                <w:rFonts w:asciiTheme="minorHAnsi" w:hAnsiTheme="minorHAnsi" w:cstheme="minorHAnsi"/>
                <w:lang w:val="fr-FR"/>
              </w:rPr>
              <w:t xml:space="preserve"> à 12h3</w:t>
            </w:r>
            <w:r w:rsidR="00314AF5">
              <w:rPr>
                <w:rFonts w:asciiTheme="minorHAnsi" w:hAnsiTheme="minorHAnsi" w:cstheme="minorHAnsi"/>
                <w:lang w:val="fr-FR"/>
              </w:rPr>
              <w:t>0</w:t>
            </w:r>
          </w:p>
        </w:tc>
        <w:tc>
          <w:tcPr>
            <w:tcW w:w="9576" w:type="dxa"/>
          </w:tcPr>
          <w:p w14:paraId="211914FE" w14:textId="77777777" w:rsidR="00223B6D" w:rsidRPr="009A7BBB" w:rsidRDefault="00223B6D" w:rsidP="00223B6D">
            <w:pPr>
              <w:pStyle w:val="Boxtext"/>
              <w:spacing w:before="120" w:after="120"/>
              <w:rPr>
                <w:rFonts w:asciiTheme="minorHAnsi" w:hAnsiTheme="minorHAnsi" w:cstheme="minorHAnsi"/>
                <w:b/>
                <w:bCs/>
                <w:iCs/>
                <w:lang w:val="fr-FR"/>
              </w:rPr>
            </w:pPr>
            <w:r w:rsidRPr="009A7BBB">
              <w:rPr>
                <w:rFonts w:asciiTheme="minorHAnsi" w:hAnsiTheme="minorHAnsi" w:cstheme="minorHAnsi"/>
                <w:b/>
                <w:bCs/>
                <w:iCs/>
                <w:lang w:val="fr-FR"/>
              </w:rPr>
              <w:t>Chiffrage et budgétisation d’un vaccin en cas de pandémie</w:t>
            </w:r>
          </w:p>
          <w:p w14:paraId="5A471815" w14:textId="77777777" w:rsidR="00223B6D" w:rsidRPr="009A7BBB" w:rsidRDefault="00223B6D" w:rsidP="00223B6D">
            <w:pPr>
              <w:pStyle w:val="Boxtext"/>
              <w:spacing w:before="120" w:after="120"/>
              <w:rPr>
                <w:rFonts w:asciiTheme="minorHAnsi" w:hAnsiTheme="minorHAnsi" w:cstheme="minorHAnsi"/>
                <w:iCs/>
                <w:lang w:val="fr-FR"/>
              </w:rPr>
            </w:pPr>
            <w:r w:rsidRPr="009A7BBB">
              <w:rPr>
                <w:rFonts w:asciiTheme="minorHAnsi" w:hAnsiTheme="minorHAnsi" w:cstheme="minorHAnsi"/>
                <w:iCs/>
                <w:lang w:val="fr-FR"/>
              </w:rPr>
              <w:t xml:space="preserve">Bien que l’exercice d’évaluation des coûts soit généralement entrepris par le ministère de la Santé, le ministère des Finances doit veiller à ce que ces programmes soient inscrits au budget présenté au Parlement et que les différents éléments du système de </w:t>
            </w:r>
            <w:proofErr w:type="spellStart"/>
            <w:r w:rsidRPr="009A7BBB">
              <w:rPr>
                <w:rFonts w:asciiTheme="minorHAnsi" w:hAnsiTheme="minorHAnsi" w:cstheme="minorHAnsi"/>
                <w:iCs/>
                <w:lang w:val="fr-FR"/>
              </w:rPr>
              <w:t>GFP</w:t>
            </w:r>
            <w:proofErr w:type="spellEnd"/>
            <w:r w:rsidRPr="009A7BBB">
              <w:rPr>
                <w:rFonts w:asciiTheme="minorHAnsi" w:hAnsiTheme="minorHAnsi" w:cstheme="minorHAnsi"/>
                <w:iCs/>
                <w:lang w:val="fr-FR"/>
              </w:rPr>
              <w:t xml:space="preserve"> soient suffisamment souples et fiables pour faciliter la mise en œuvre d</w:t>
            </w:r>
            <w:r>
              <w:rPr>
                <w:rFonts w:asciiTheme="minorHAnsi" w:hAnsiTheme="minorHAnsi" w:cstheme="minorHAnsi"/>
                <w:iCs/>
                <w:lang w:val="fr-FR"/>
              </w:rPr>
              <w:t>es</w:t>
            </w:r>
            <w:r w:rsidRPr="009A7BBB">
              <w:rPr>
                <w:rFonts w:asciiTheme="minorHAnsi" w:hAnsiTheme="minorHAnsi" w:cstheme="minorHAnsi"/>
                <w:iCs/>
                <w:lang w:val="fr-FR"/>
              </w:rPr>
              <w:t xml:space="preserve"> programme</w:t>
            </w:r>
            <w:r>
              <w:rPr>
                <w:rFonts w:asciiTheme="minorHAnsi" w:hAnsiTheme="minorHAnsi" w:cstheme="minorHAnsi"/>
                <w:iCs/>
                <w:lang w:val="fr-FR"/>
              </w:rPr>
              <w:t>s</w:t>
            </w:r>
            <w:r w:rsidRPr="009A7BBB">
              <w:rPr>
                <w:rFonts w:asciiTheme="minorHAnsi" w:hAnsiTheme="minorHAnsi" w:cstheme="minorHAnsi"/>
                <w:iCs/>
                <w:lang w:val="fr-FR"/>
              </w:rPr>
              <w:t xml:space="preserve"> de vaccination. Cette démarche nécessite une étroite collaboration entre les ministères des Finances et de la Santé, avant et après l’achat des vaccins, ainsi que l’accès à des données précises et complètes et leur utilisation. </w:t>
            </w:r>
          </w:p>
          <w:p w14:paraId="03B9B603" w14:textId="118168BF" w:rsidR="00531CCF" w:rsidRPr="00531CCF" w:rsidRDefault="00531CCF" w:rsidP="00223B6D">
            <w:pPr>
              <w:pStyle w:val="Boxtext"/>
              <w:spacing w:before="120" w:after="120"/>
              <w:rPr>
                <w:rFonts w:asciiTheme="minorHAnsi" w:eastAsia="MS Mincho" w:hAnsiTheme="minorHAnsi" w:cstheme="minorHAnsi"/>
                <w:iCs/>
                <w:lang w:val="fr-FR"/>
              </w:rPr>
            </w:pPr>
            <w:r w:rsidRPr="00531CCF">
              <w:rPr>
                <w:rFonts w:asciiTheme="minorHAnsi" w:eastAsia="MS Mincho" w:hAnsiTheme="minorHAnsi" w:cstheme="minorHAnsi"/>
                <w:b/>
                <w:bCs/>
                <w:iCs/>
                <w:lang w:val="fr-FR"/>
              </w:rPr>
              <w:t xml:space="preserve">Un aperçu du coût du vaccin COVID-19 en Afrique et de l'outil de calcul des coûts d'introduction et de déploiement </w:t>
            </w:r>
            <w:r w:rsidRPr="00531CCF">
              <w:rPr>
                <w:rFonts w:asciiTheme="minorHAnsi" w:eastAsia="MS Mincho" w:hAnsiTheme="minorHAnsi" w:cstheme="minorHAnsi"/>
                <w:iCs/>
                <w:lang w:val="fr-FR"/>
              </w:rPr>
              <w:t>par</w:t>
            </w:r>
            <w:r w:rsidRPr="00531CCF">
              <w:rPr>
                <w:rFonts w:asciiTheme="minorHAnsi" w:eastAsia="MS Mincho" w:hAnsiTheme="minorHAnsi" w:cstheme="minorHAnsi"/>
                <w:b/>
                <w:bCs/>
                <w:iCs/>
                <w:lang w:val="fr-FR"/>
              </w:rPr>
              <w:t xml:space="preserve"> </w:t>
            </w:r>
            <w:r w:rsidRPr="00531CCF">
              <w:rPr>
                <w:rFonts w:asciiTheme="minorHAnsi" w:eastAsia="MS Mincho" w:hAnsiTheme="minorHAnsi" w:cstheme="minorHAnsi"/>
                <w:iCs/>
                <w:lang w:val="fr-FR"/>
              </w:rPr>
              <w:t>(Organisation mondiale de la Santé)</w:t>
            </w:r>
          </w:p>
          <w:p w14:paraId="42A57322" w14:textId="2011CDFD" w:rsidR="00531CCF" w:rsidRDefault="00531CCF" w:rsidP="00223B6D">
            <w:pPr>
              <w:pStyle w:val="Boxtext"/>
              <w:spacing w:before="120" w:after="120"/>
              <w:rPr>
                <w:rFonts w:asciiTheme="minorHAnsi" w:hAnsiTheme="minorHAnsi" w:cstheme="minorHAnsi"/>
                <w:lang w:val="fr-FR"/>
              </w:rPr>
            </w:pPr>
            <w:r w:rsidRPr="00531CCF">
              <w:rPr>
                <w:rFonts w:asciiTheme="minorHAnsi" w:hAnsiTheme="minorHAnsi" w:cstheme="minorHAnsi"/>
                <w:b/>
                <w:bCs/>
                <w:lang w:val="fr-FR"/>
              </w:rPr>
              <w:t xml:space="preserve">Coût du programme de vaccination COVID-19 au </w:t>
            </w:r>
            <w:proofErr w:type="gramStart"/>
            <w:r w:rsidRPr="00531CCF">
              <w:rPr>
                <w:rFonts w:asciiTheme="minorHAnsi" w:hAnsiTheme="minorHAnsi" w:cstheme="minorHAnsi"/>
                <w:b/>
                <w:bCs/>
                <w:lang w:val="fr-FR"/>
              </w:rPr>
              <w:t>Ministère</w:t>
            </w:r>
            <w:proofErr w:type="gramEnd"/>
            <w:r w:rsidRPr="00531CCF">
              <w:rPr>
                <w:rFonts w:asciiTheme="minorHAnsi" w:hAnsiTheme="minorHAnsi" w:cstheme="minorHAnsi"/>
                <w:b/>
                <w:bCs/>
                <w:lang w:val="fr-FR"/>
              </w:rPr>
              <w:t xml:space="preserve"> de la Santé </w:t>
            </w:r>
            <w:r w:rsidRPr="00531CCF">
              <w:rPr>
                <w:rFonts w:asciiTheme="minorHAnsi" w:hAnsiTheme="minorHAnsi" w:cstheme="minorHAnsi"/>
                <w:lang w:val="fr-FR"/>
              </w:rPr>
              <w:t>par le Dr Shobha Hajarnis (</w:t>
            </w:r>
            <w:r w:rsidR="007831BA">
              <w:rPr>
                <w:rFonts w:asciiTheme="minorHAnsi" w:hAnsiTheme="minorHAnsi" w:cstheme="minorHAnsi"/>
                <w:lang w:val="fr-FR"/>
              </w:rPr>
              <w:t xml:space="preserve">Consultant, Secrétariat du Secrétaire principal, </w:t>
            </w:r>
            <w:r w:rsidRPr="00531CCF">
              <w:rPr>
                <w:rFonts w:asciiTheme="minorHAnsi" w:hAnsiTheme="minorHAnsi" w:cstheme="minorHAnsi"/>
                <w:lang w:val="fr-FR"/>
              </w:rPr>
              <w:t>Ministère de la Santé, Seychelles)</w:t>
            </w:r>
          </w:p>
          <w:p w14:paraId="47FE4457" w14:textId="3B654507" w:rsidR="00531CCF" w:rsidRPr="00531CCF" w:rsidRDefault="00531CCF" w:rsidP="00223B6D">
            <w:pPr>
              <w:pStyle w:val="Boxtext"/>
              <w:spacing w:before="120" w:after="120"/>
              <w:rPr>
                <w:rFonts w:asciiTheme="minorHAnsi" w:hAnsiTheme="minorHAnsi" w:cstheme="minorHAnsi"/>
                <w:lang w:val="fr-FR"/>
              </w:rPr>
            </w:pPr>
            <w:r w:rsidRPr="00531CCF">
              <w:rPr>
                <w:rFonts w:asciiTheme="minorHAnsi" w:hAnsiTheme="minorHAnsi" w:cstheme="minorHAnsi"/>
                <w:b/>
                <w:bCs/>
                <w:lang w:val="fr-FR"/>
              </w:rPr>
              <w:t xml:space="preserve">Approche du Ghana en matière de coût et de budgétisation du vaccin </w:t>
            </w:r>
            <w:r>
              <w:rPr>
                <w:rFonts w:asciiTheme="minorHAnsi" w:hAnsiTheme="minorHAnsi" w:cstheme="minorHAnsi"/>
                <w:b/>
                <w:bCs/>
                <w:lang w:val="fr-FR"/>
              </w:rPr>
              <w:t>anti-</w:t>
            </w:r>
            <w:r w:rsidRPr="00531CCF">
              <w:rPr>
                <w:rFonts w:asciiTheme="minorHAnsi" w:hAnsiTheme="minorHAnsi" w:cstheme="minorHAnsi"/>
                <w:b/>
                <w:bCs/>
                <w:lang w:val="fr-FR"/>
              </w:rPr>
              <w:t>COVID-19</w:t>
            </w:r>
            <w:r w:rsidRPr="00531CCF">
              <w:rPr>
                <w:rFonts w:asciiTheme="minorHAnsi" w:hAnsiTheme="minorHAnsi" w:cstheme="minorHAnsi"/>
                <w:lang w:val="fr-FR"/>
              </w:rPr>
              <w:t xml:space="preserve"> par le Dr Alex Amankwah-Poku (Chef, Développement et réformes budgétaires, Division du budget, </w:t>
            </w:r>
            <w:proofErr w:type="gramStart"/>
            <w:r w:rsidRPr="00531CCF">
              <w:rPr>
                <w:rFonts w:asciiTheme="minorHAnsi" w:hAnsiTheme="minorHAnsi" w:cstheme="minorHAnsi"/>
                <w:lang w:val="fr-FR"/>
              </w:rPr>
              <w:t>Ministère des finances</w:t>
            </w:r>
            <w:proofErr w:type="gramEnd"/>
            <w:r>
              <w:rPr>
                <w:rFonts w:asciiTheme="minorHAnsi" w:hAnsiTheme="minorHAnsi" w:cstheme="minorHAnsi"/>
                <w:lang w:val="fr-FR"/>
              </w:rPr>
              <w:t>,</w:t>
            </w:r>
            <w:r w:rsidRPr="00531CCF">
              <w:rPr>
                <w:rFonts w:asciiTheme="minorHAnsi" w:hAnsiTheme="minorHAnsi" w:cstheme="minorHAnsi"/>
                <w:lang w:val="fr-FR"/>
              </w:rPr>
              <w:t xml:space="preserve"> Ghana)</w:t>
            </w:r>
          </w:p>
          <w:p w14:paraId="656A28C2" w14:textId="77777777" w:rsidR="00223B6D" w:rsidRPr="009A7BBB" w:rsidRDefault="00223B6D" w:rsidP="00223B6D">
            <w:pPr>
              <w:pStyle w:val="Boxtext"/>
              <w:spacing w:before="120" w:after="120"/>
              <w:rPr>
                <w:rFonts w:asciiTheme="minorHAnsi" w:hAnsiTheme="minorHAnsi" w:cstheme="minorHAnsi"/>
                <w:lang w:val="fr-FR"/>
              </w:rPr>
            </w:pPr>
            <w:r w:rsidRPr="009A7BBB">
              <w:rPr>
                <w:rFonts w:asciiTheme="minorHAnsi" w:hAnsiTheme="minorHAnsi" w:cstheme="minorHAnsi"/>
                <w:lang w:val="fr-FR"/>
              </w:rPr>
              <w:t xml:space="preserve">Période de questions-réponses </w:t>
            </w:r>
          </w:p>
          <w:p w14:paraId="5C1AF4F0" w14:textId="34AA8540" w:rsidR="00223B6D" w:rsidRPr="009A7BBB" w:rsidRDefault="00223B6D" w:rsidP="00223B6D">
            <w:pPr>
              <w:pStyle w:val="Boxtext"/>
              <w:spacing w:before="120" w:after="120"/>
              <w:rPr>
                <w:rFonts w:asciiTheme="minorHAnsi" w:hAnsiTheme="minorHAnsi" w:cstheme="minorHAnsi"/>
                <w:lang w:val="fr-FR"/>
              </w:rPr>
            </w:pPr>
            <w:r w:rsidRPr="009A7BBB">
              <w:rPr>
                <w:rFonts w:asciiTheme="minorHAnsi" w:hAnsiTheme="minorHAnsi" w:cstheme="minorHAnsi"/>
                <w:b/>
                <w:bCs/>
                <w:lang w:val="fr-FR"/>
              </w:rPr>
              <w:t>Facilitatrice :</w:t>
            </w:r>
            <w:r w:rsidRPr="009A7BBB">
              <w:rPr>
                <w:rFonts w:asciiTheme="minorHAnsi" w:hAnsiTheme="minorHAnsi" w:cstheme="minorHAnsi"/>
                <w:lang w:val="fr-FR"/>
              </w:rPr>
              <w:t xml:space="preserve"> Joana Bento (Responsable du programme de CABRI « Renforcer les compétences en finances publiques »).</w:t>
            </w:r>
          </w:p>
        </w:tc>
      </w:tr>
      <w:tr w:rsidR="00543425" w:rsidRPr="009A7BBB" w14:paraId="3BFFA54B" w14:textId="77777777" w:rsidTr="00B21E9B">
        <w:trPr>
          <w:cantSplit/>
          <w:jc w:val="center"/>
        </w:trPr>
        <w:tc>
          <w:tcPr>
            <w:tcW w:w="1560" w:type="dxa"/>
          </w:tcPr>
          <w:p w14:paraId="005C455B" w14:textId="5DC95E6A" w:rsidR="00223B6D" w:rsidRPr="009A7BBB" w:rsidRDefault="00223B6D" w:rsidP="00223B6D">
            <w:pPr>
              <w:pStyle w:val="Boxtext"/>
              <w:spacing w:before="120" w:after="120"/>
              <w:rPr>
                <w:rFonts w:asciiTheme="minorHAnsi" w:hAnsiTheme="minorHAnsi" w:cstheme="minorHAnsi"/>
                <w:b/>
                <w:lang w:val="fr-FR"/>
              </w:rPr>
            </w:pPr>
            <w:r w:rsidRPr="009A7BBB">
              <w:rPr>
                <w:rFonts w:asciiTheme="minorHAnsi" w:hAnsiTheme="minorHAnsi" w:cstheme="minorHAnsi"/>
                <w:lang w:val="fr-FR"/>
              </w:rPr>
              <w:t>12h3</w:t>
            </w:r>
            <w:r w:rsidR="00531CCF">
              <w:rPr>
                <w:rFonts w:asciiTheme="minorHAnsi" w:hAnsiTheme="minorHAnsi" w:cstheme="minorHAnsi"/>
                <w:lang w:val="fr-FR"/>
              </w:rPr>
              <w:t>0</w:t>
            </w:r>
            <w:r w:rsidRPr="009A7BBB">
              <w:rPr>
                <w:rFonts w:asciiTheme="minorHAnsi" w:hAnsiTheme="minorHAnsi" w:cstheme="minorHAnsi"/>
                <w:lang w:val="fr-FR"/>
              </w:rPr>
              <w:t xml:space="preserve"> à 12h40</w:t>
            </w:r>
          </w:p>
        </w:tc>
        <w:tc>
          <w:tcPr>
            <w:tcW w:w="9576" w:type="dxa"/>
          </w:tcPr>
          <w:p w14:paraId="6EDD5480" w14:textId="3F2228C3" w:rsidR="00223B6D" w:rsidRPr="007831BA" w:rsidRDefault="00223B6D" w:rsidP="00223B6D">
            <w:pPr>
              <w:pStyle w:val="Boxtext"/>
              <w:spacing w:before="120" w:after="120"/>
              <w:rPr>
                <w:rFonts w:asciiTheme="minorHAnsi" w:hAnsiTheme="minorHAnsi" w:cstheme="minorHAnsi"/>
                <w:b/>
                <w:bCs/>
                <w:iCs/>
                <w:lang w:val="fr-FR"/>
              </w:rPr>
            </w:pPr>
            <w:r w:rsidRPr="007831BA">
              <w:rPr>
                <w:rFonts w:asciiTheme="minorHAnsi" w:hAnsiTheme="minorHAnsi" w:cstheme="minorHAnsi"/>
                <w:iCs/>
                <w:lang w:val="fr-FR"/>
              </w:rPr>
              <w:t xml:space="preserve">Pause </w:t>
            </w:r>
          </w:p>
        </w:tc>
      </w:tr>
      <w:tr w:rsidR="00543425" w:rsidRPr="00E84115" w14:paraId="152DED68" w14:textId="77777777" w:rsidTr="00B21E9B">
        <w:trPr>
          <w:cantSplit/>
          <w:jc w:val="center"/>
        </w:trPr>
        <w:tc>
          <w:tcPr>
            <w:tcW w:w="1560" w:type="dxa"/>
          </w:tcPr>
          <w:p w14:paraId="1718A449" w14:textId="77777777" w:rsidR="003F4650" w:rsidRPr="009A7BBB" w:rsidRDefault="003F4650" w:rsidP="003F4650">
            <w:pPr>
              <w:pStyle w:val="Boxtext"/>
              <w:spacing w:before="120" w:after="120"/>
              <w:rPr>
                <w:rFonts w:asciiTheme="minorHAnsi" w:hAnsiTheme="minorHAnsi" w:cstheme="minorHAnsi"/>
                <w:b/>
                <w:lang w:val="fr-FR"/>
              </w:rPr>
            </w:pPr>
            <w:r w:rsidRPr="009A7BBB">
              <w:rPr>
                <w:rFonts w:asciiTheme="minorHAnsi" w:hAnsiTheme="minorHAnsi" w:cstheme="minorHAnsi"/>
                <w:b/>
                <w:lang w:val="fr-FR"/>
              </w:rPr>
              <w:lastRenderedPageBreak/>
              <w:t>Séance 3</w:t>
            </w:r>
          </w:p>
          <w:p w14:paraId="5BB6CAE2" w14:textId="4AB945E8" w:rsidR="003F4650" w:rsidRPr="009A7BBB" w:rsidRDefault="003F4650" w:rsidP="003F4650">
            <w:pPr>
              <w:pStyle w:val="Boxtext"/>
              <w:spacing w:before="120" w:after="120"/>
              <w:rPr>
                <w:rFonts w:asciiTheme="minorHAnsi" w:hAnsiTheme="minorHAnsi" w:cstheme="minorHAnsi"/>
                <w:lang w:val="fr-FR"/>
              </w:rPr>
            </w:pPr>
            <w:r w:rsidRPr="009A7BBB">
              <w:rPr>
                <w:rFonts w:asciiTheme="minorHAnsi" w:hAnsiTheme="minorHAnsi" w:cstheme="minorHAnsi"/>
                <w:lang w:val="fr-FR"/>
              </w:rPr>
              <w:t>12h40 à 13h</w:t>
            </w:r>
            <w:r w:rsidR="00531CCF">
              <w:rPr>
                <w:rFonts w:asciiTheme="minorHAnsi" w:hAnsiTheme="minorHAnsi" w:cstheme="minorHAnsi"/>
                <w:lang w:val="fr-FR"/>
              </w:rPr>
              <w:t>35</w:t>
            </w:r>
          </w:p>
        </w:tc>
        <w:tc>
          <w:tcPr>
            <w:tcW w:w="9576" w:type="dxa"/>
          </w:tcPr>
          <w:p w14:paraId="2886F3D9" w14:textId="77777777" w:rsidR="003F4650" w:rsidRPr="009A7BBB" w:rsidRDefault="003F4650" w:rsidP="003F4650">
            <w:pPr>
              <w:spacing w:before="120" w:after="120" w:line="269" w:lineRule="auto"/>
              <w:jc w:val="both"/>
              <w:rPr>
                <w:rFonts w:asciiTheme="minorHAnsi" w:hAnsiTheme="minorHAnsi" w:cstheme="minorHAnsi"/>
                <w:bCs/>
                <w:lang w:val="fr-FR"/>
              </w:rPr>
            </w:pPr>
            <w:r w:rsidRPr="009A7BBB">
              <w:rPr>
                <w:rFonts w:asciiTheme="minorHAnsi" w:hAnsiTheme="minorHAnsi" w:cstheme="minorHAnsi"/>
                <w:b/>
                <w:lang w:val="fr-FR"/>
              </w:rPr>
              <w:t xml:space="preserve">Financement du vaccin </w:t>
            </w:r>
            <w:r w:rsidRPr="009A7BBB">
              <w:rPr>
                <w:rFonts w:asciiTheme="minorHAnsi" w:hAnsiTheme="minorHAnsi" w:cstheme="minorHAnsi"/>
                <w:lang w:val="fr-FR"/>
              </w:rPr>
              <w:t xml:space="preserve"> </w:t>
            </w:r>
            <w:r w:rsidRPr="009A7BBB">
              <w:rPr>
                <w:rFonts w:asciiTheme="minorHAnsi" w:hAnsiTheme="minorHAnsi" w:cstheme="minorHAnsi"/>
                <w:bCs/>
                <w:lang w:val="fr-FR"/>
              </w:rPr>
              <w:t xml:space="preserve"> </w:t>
            </w:r>
          </w:p>
          <w:p w14:paraId="5C4594F6" w14:textId="77777777" w:rsidR="003F4650" w:rsidRPr="009A7BBB" w:rsidRDefault="003F4650" w:rsidP="003F4650">
            <w:pPr>
              <w:spacing w:before="120" w:after="120" w:line="269" w:lineRule="auto"/>
              <w:jc w:val="both"/>
              <w:rPr>
                <w:rFonts w:asciiTheme="minorHAnsi" w:hAnsiTheme="minorHAnsi" w:cstheme="minorHAnsi"/>
                <w:lang w:val="fr-FR"/>
              </w:rPr>
            </w:pPr>
            <w:r w:rsidRPr="009A7BBB">
              <w:rPr>
                <w:rFonts w:asciiTheme="minorHAnsi" w:hAnsiTheme="minorHAnsi" w:cstheme="minorHAnsi"/>
                <w:lang w:val="fr-FR"/>
              </w:rPr>
              <w:t xml:space="preserve">Il incombe à un ministère des Finances d’examiner attentivement les différentes options de financement et les implications de chacune, aussi bien à court terme qu’à moyen termes. Si les coûts et les avantages des décisions de financement ne sont pas évalués avec prudence, les ressources publiques limitées seront consommées de manière inefficiente, et il se peut que les programmes de vaccination s’avèrent inefficaces pour atteindre l’immunité collective. Bien que les pays aient accès à différentes sources de financement, il est utile d’envisager toutes les options disponibles, y compris les obligations « Vaccins », les taxes sanitaires, les échanges de créances (ou swaps de dettes) ou l’allégement de la dette et la redéfinition des priorités budgétaires. </w:t>
            </w:r>
          </w:p>
          <w:p w14:paraId="5B84F36E" w14:textId="57B5EFB0" w:rsidR="00531CCF" w:rsidRPr="00531CCF" w:rsidRDefault="00531CCF" w:rsidP="003F4650">
            <w:pPr>
              <w:pStyle w:val="Default"/>
              <w:jc w:val="both"/>
              <w:rPr>
                <w:rFonts w:asciiTheme="minorHAnsi" w:hAnsiTheme="minorHAnsi" w:cstheme="minorHAnsi"/>
                <w:bCs/>
                <w:sz w:val="22"/>
                <w:szCs w:val="22"/>
                <w:lang w:val="fr-FR"/>
              </w:rPr>
            </w:pPr>
            <w:r w:rsidRPr="00531CCF">
              <w:rPr>
                <w:rFonts w:asciiTheme="minorHAnsi" w:hAnsiTheme="minorHAnsi" w:cstheme="minorHAnsi"/>
                <w:b/>
                <w:sz w:val="22"/>
                <w:szCs w:val="22"/>
                <w:lang w:val="fr-FR"/>
              </w:rPr>
              <w:t xml:space="preserve">Options de financement du programme de vaccination COVID-19 </w:t>
            </w:r>
            <w:r w:rsidRPr="00531CCF">
              <w:rPr>
                <w:rFonts w:asciiTheme="minorHAnsi" w:hAnsiTheme="minorHAnsi" w:cstheme="minorHAnsi"/>
                <w:bCs/>
                <w:sz w:val="22"/>
                <w:szCs w:val="22"/>
                <w:lang w:val="fr-FR"/>
              </w:rPr>
              <w:t xml:space="preserve">par </w:t>
            </w:r>
            <w:r w:rsidR="00B21E9B">
              <w:rPr>
                <w:rFonts w:asciiTheme="minorHAnsi" w:hAnsiTheme="minorHAnsi" w:cstheme="minorHAnsi"/>
                <w:bCs/>
                <w:sz w:val="22"/>
                <w:szCs w:val="22"/>
                <w:lang w:val="fr-FR"/>
              </w:rPr>
              <w:t xml:space="preserve">Danielle Serebro </w:t>
            </w:r>
          </w:p>
          <w:p w14:paraId="7AC90A7C" w14:textId="5EF844A9" w:rsidR="00531CCF" w:rsidRPr="00B21E9B" w:rsidRDefault="003F4650" w:rsidP="00B21E9B">
            <w:pPr>
              <w:spacing w:before="120" w:after="120" w:line="269" w:lineRule="auto"/>
              <w:jc w:val="both"/>
              <w:rPr>
                <w:rFonts w:asciiTheme="minorHAnsi" w:hAnsiTheme="minorHAnsi" w:cstheme="minorHAnsi"/>
                <w:bCs/>
                <w:lang w:val="fr-FR"/>
              </w:rPr>
            </w:pPr>
            <w:r w:rsidRPr="009A7BBB">
              <w:rPr>
                <w:rFonts w:asciiTheme="minorHAnsi" w:hAnsiTheme="minorHAnsi" w:cstheme="minorHAnsi"/>
                <w:b/>
                <w:lang w:val="fr-FR"/>
              </w:rPr>
              <w:t>Une combinaison exhaustive de financements pour le programme de vaccination anti-COVID-19 de l’Afrique du Sud</w:t>
            </w:r>
            <w:r w:rsidRPr="00DB455C">
              <w:rPr>
                <w:rFonts w:asciiTheme="minorHAnsi" w:hAnsiTheme="minorHAnsi" w:cstheme="minorHAnsi"/>
                <w:bCs/>
                <w:lang w:val="fr-FR"/>
              </w:rPr>
              <w:t>,</w:t>
            </w:r>
            <w:r w:rsidRPr="009A7BBB">
              <w:rPr>
                <w:rFonts w:asciiTheme="minorHAnsi" w:hAnsiTheme="minorHAnsi" w:cstheme="minorHAnsi"/>
                <w:b/>
                <w:lang w:val="fr-FR"/>
              </w:rPr>
              <w:t xml:space="preserve"> </w:t>
            </w:r>
            <w:r w:rsidRPr="009A7BBB">
              <w:rPr>
                <w:rFonts w:asciiTheme="minorHAnsi" w:hAnsiTheme="minorHAnsi" w:cstheme="minorHAnsi"/>
                <w:bCs/>
                <w:lang w:val="fr-FR"/>
              </w:rPr>
              <w:t>par Mark Blecher</w:t>
            </w:r>
            <w:r>
              <w:rPr>
                <w:rFonts w:asciiTheme="minorHAnsi" w:hAnsiTheme="minorHAnsi" w:cstheme="minorHAnsi"/>
                <w:bCs/>
                <w:lang w:val="fr-FR"/>
              </w:rPr>
              <w:t xml:space="preserve"> </w:t>
            </w:r>
            <w:r w:rsidRPr="009A7BBB">
              <w:rPr>
                <w:rFonts w:asciiTheme="minorHAnsi" w:hAnsiTheme="minorHAnsi" w:cstheme="minorHAnsi"/>
                <w:lang w:val="fr-FR"/>
              </w:rPr>
              <w:t>(Directeur en chef : « Santé et développement social », de la Trésorerie nationale sud-africaine</w:t>
            </w:r>
            <w:r w:rsidRPr="009A7BBB">
              <w:rPr>
                <w:rFonts w:asciiTheme="minorHAnsi" w:hAnsiTheme="minorHAnsi" w:cstheme="minorHAnsi"/>
                <w:bCs/>
                <w:lang w:val="fr-FR"/>
              </w:rPr>
              <w:t>)</w:t>
            </w:r>
          </w:p>
          <w:p w14:paraId="0E269FB1" w14:textId="20CB904C" w:rsidR="00531CCF" w:rsidRPr="009A7BBB" w:rsidRDefault="00531CCF" w:rsidP="003F4650">
            <w:pPr>
              <w:spacing w:before="120" w:after="120" w:line="269" w:lineRule="auto"/>
              <w:jc w:val="both"/>
              <w:rPr>
                <w:rFonts w:asciiTheme="minorHAnsi" w:hAnsiTheme="minorHAnsi" w:cstheme="minorHAnsi"/>
                <w:bCs/>
                <w:lang w:val="fr-FR"/>
              </w:rPr>
            </w:pPr>
            <w:r w:rsidRPr="00531CCF">
              <w:rPr>
                <w:rFonts w:asciiTheme="minorHAnsi" w:hAnsiTheme="minorHAnsi" w:cstheme="minorHAnsi"/>
                <w:b/>
                <w:lang w:val="fr-FR"/>
              </w:rPr>
              <w:t xml:space="preserve">Options de financement envisagées au </w:t>
            </w:r>
            <w:r w:rsidR="00D36A97">
              <w:rPr>
                <w:rFonts w:asciiTheme="minorHAnsi" w:hAnsiTheme="minorHAnsi" w:cstheme="minorHAnsi"/>
                <w:b/>
                <w:lang w:val="fr-FR"/>
              </w:rPr>
              <w:t xml:space="preserve">Maurice </w:t>
            </w:r>
            <w:r w:rsidR="00D36A97" w:rsidRPr="00D36A97">
              <w:rPr>
                <w:rFonts w:asciiTheme="minorHAnsi" w:hAnsiTheme="minorHAnsi" w:cstheme="minorHAnsi"/>
                <w:bCs/>
                <w:lang w:val="fr-FR"/>
              </w:rPr>
              <w:t xml:space="preserve">par </w:t>
            </w:r>
            <w:proofErr w:type="spellStart"/>
            <w:r w:rsidR="00D36A97" w:rsidRPr="00D36A97">
              <w:rPr>
                <w:rFonts w:asciiTheme="minorHAnsi" w:hAnsiTheme="minorHAnsi" w:cstheme="minorHAnsi"/>
                <w:lang w:val="fr-FR"/>
              </w:rPr>
              <w:t>Parmanand</w:t>
            </w:r>
            <w:proofErr w:type="spellEnd"/>
            <w:r w:rsidR="00D36A97" w:rsidRPr="00D36A97">
              <w:rPr>
                <w:rFonts w:asciiTheme="minorHAnsi" w:hAnsiTheme="minorHAnsi" w:cstheme="minorHAnsi"/>
                <w:lang w:val="fr-FR"/>
              </w:rPr>
              <w:t xml:space="preserve"> </w:t>
            </w:r>
            <w:proofErr w:type="spellStart"/>
            <w:r w:rsidR="00D36A97" w:rsidRPr="00D36A97">
              <w:rPr>
                <w:rFonts w:asciiTheme="minorHAnsi" w:hAnsiTheme="minorHAnsi" w:cstheme="minorHAnsi"/>
                <w:lang w:val="fr-FR"/>
              </w:rPr>
              <w:t>Mawah</w:t>
            </w:r>
            <w:proofErr w:type="spellEnd"/>
            <w:r w:rsidR="00D36A97" w:rsidRPr="00D36A97">
              <w:rPr>
                <w:rFonts w:asciiTheme="minorHAnsi" w:hAnsiTheme="minorHAnsi" w:cstheme="minorHAnsi"/>
                <w:lang w:val="fr-FR"/>
              </w:rPr>
              <w:t xml:space="preserve"> </w:t>
            </w:r>
            <w:r w:rsidR="00D36A97">
              <w:rPr>
                <w:rFonts w:asciiTheme="minorHAnsi" w:hAnsiTheme="minorHAnsi" w:cstheme="minorHAnsi"/>
                <w:lang w:val="fr-FR"/>
              </w:rPr>
              <w:t>(</w:t>
            </w:r>
            <w:r w:rsidR="00D36A97" w:rsidRPr="00D36A97">
              <w:rPr>
                <w:rFonts w:asciiTheme="minorHAnsi" w:hAnsiTheme="minorHAnsi" w:cstheme="minorHAnsi"/>
                <w:lang w:val="fr-FR"/>
              </w:rPr>
              <w:t xml:space="preserve">Secrétaire permanent par intérim : </w:t>
            </w:r>
            <w:proofErr w:type="gramStart"/>
            <w:r w:rsidR="00D36A97" w:rsidRPr="00D36A97">
              <w:rPr>
                <w:rFonts w:asciiTheme="minorHAnsi" w:hAnsiTheme="minorHAnsi" w:cstheme="minorHAnsi"/>
                <w:lang w:val="fr-FR"/>
              </w:rPr>
              <w:t>Ministère de la santé</w:t>
            </w:r>
            <w:proofErr w:type="gramEnd"/>
            <w:r w:rsidR="00D36A97" w:rsidRPr="00D36A97">
              <w:rPr>
                <w:rFonts w:asciiTheme="minorHAnsi" w:hAnsiTheme="minorHAnsi" w:cstheme="minorHAnsi"/>
                <w:lang w:val="fr-FR"/>
              </w:rPr>
              <w:t xml:space="preserve"> et du bien-être, Ile Maurice</w:t>
            </w:r>
            <w:r w:rsidR="00D36A97">
              <w:rPr>
                <w:rFonts w:asciiTheme="minorHAnsi" w:hAnsiTheme="minorHAnsi" w:cstheme="minorHAnsi"/>
                <w:lang w:val="fr-FR"/>
              </w:rPr>
              <w:t>)</w:t>
            </w:r>
          </w:p>
          <w:p w14:paraId="4A41FAE4" w14:textId="77777777" w:rsidR="003F4650" w:rsidRPr="009A7BBB" w:rsidRDefault="003F4650" w:rsidP="003F4650">
            <w:pPr>
              <w:spacing w:before="120" w:after="120" w:line="269" w:lineRule="auto"/>
              <w:jc w:val="both"/>
              <w:rPr>
                <w:rFonts w:asciiTheme="minorHAnsi" w:hAnsiTheme="minorHAnsi" w:cstheme="minorHAnsi"/>
                <w:bCs/>
                <w:lang w:val="fr-FR"/>
              </w:rPr>
            </w:pPr>
            <w:r w:rsidRPr="009A7BBB">
              <w:rPr>
                <w:rFonts w:asciiTheme="minorHAnsi" w:hAnsiTheme="minorHAnsi" w:cstheme="minorHAnsi"/>
                <w:bCs/>
                <w:lang w:val="fr-FR"/>
              </w:rPr>
              <w:t>Période de questions-réponses</w:t>
            </w:r>
          </w:p>
          <w:p w14:paraId="0E9214A0" w14:textId="25AEC975" w:rsidR="003F4650" w:rsidRPr="009A7BBB" w:rsidRDefault="003F4650" w:rsidP="003F4650">
            <w:pPr>
              <w:pStyle w:val="Boxtext"/>
              <w:spacing w:before="120" w:after="120"/>
              <w:rPr>
                <w:rFonts w:asciiTheme="minorHAnsi" w:hAnsiTheme="minorHAnsi" w:cstheme="minorHAnsi"/>
                <w:i/>
                <w:lang w:val="fr-FR"/>
              </w:rPr>
            </w:pPr>
            <w:r w:rsidRPr="009A7BBB">
              <w:rPr>
                <w:rFonts w:asciiTheme="minorHAnsi" w:hAnsiTheme="minorHAnsi" w:cstheme="minorHAnsi"/>
                <w:b/>
                <w:lang w:val="fr-FR"/>
              </w:rPr>
              <w:t>Facilitateur :</w:t>
            </w:r>
            <w:r w:rsidRPr="009A7BBB">
              <w:rPr>
                <w:rFonts w:asciiTheme="minorHAnsi" w:hAnsiTheme="minorHAnsi" w:cstheme="minorHAnsi"/>
                <w:bCs/>
                <w:lang w:val="fr-FR"/>
              </w:rPr>
              <w:t xml:space="preserve"> </w:t>
            </w:r>
            <w:r w:rsidR="00675A7E">
              <w:rPr>
                <w:rFonts w:asciiTheme="minorHAnsi" w:hAnsiTheme="minorHAnsi" w:cstheme="minorHAnsi"/>
                <w:bCs/>
                <w:lang w:val="fr-FR"/>
              </w:rPr>
              <w:t xml:space="preserve">Dr </w:t>
            </w:r>
            <w:r w:rsidRPr="009A7BBB">
              <w:rPr>
                <w:rFonts w:asciiTheme="minorHAnsi" w:hAnsiTheme="minorHAnsi" w:cstheme="minorHAnsi"/>
                <w:bCs/>
                <w:lang w:val="fr-FR"/>
              </w:rPr>
              <w:t xml:space="preserve">Philipp Krause  </w:t>
            </w:r>
          </w:p>
        </w:tc>
      </w:tr>
      <w:tr w:rsidR="00543425" w:rsidRPr="00E84115" w14:paraId="49440468" w14:textId="77777777" w:rsidTr="00B21E9B">
        <w:trPr>
          <w:cantSplit/>
          <w:jc w:val="center"/>
        </w:trPr>
        <w:tc>
          <w:tcPr>
            <w:tcW w:w="1560" w:type="dxa"/>
          </w:tcPr>
          <w:p w14:paraId="43FF802A" w14:textId="77777777" w:rsidR="003F4650" w:rsidRPr="009A7BBB" w:rsidRDefault="003F4650" w:rsidP="003F4650">
            <w:pPr>
              <w:pStyle w:val="Boxtext"/>
              <w:spacing w:before="120" w:after="120"/>
              <w:rPr>
                <w:rFonts w:asciiTheme="minorHAnsi" w:hAnsiTheme="minorHAnsi" w:cstheme="minorHAnsi"/>
                <w:b/>
                <w:lang w:val="fr-FR"/>
              </w:rPr>
            </w:pPr>
            <w:r w:rsidRPr="009A7BBB">
              <w:rPr>
                <w:rFonts w:asciiTheme="minorHAnsi" w:hAnsiTheme="minorHAnsi" w:cstheme="minorHAnsi"/>
                <w:b/>
                <w:lang w:val="fr-FR"/>
              </w:rPr>
              <w:t xml:space="preserve">Séance 4  </w:t>
            </w:r>
          </w:p>
          <w:p w14:paraId="665595AD" w14:textId="73EBDDB1" w:rsidR="003F4650" w:rsidRPr="009A7BBB" w:rsidRDefault="003F4650" w:rsidP="003F4650">
            <w:pPr>
              <w:pStyle w:val="Boxtext"/>
              <w:spacing w:before="120" w:after="120"/>
              <w:rPr>
                <w:rFonts w:asciiTheme="minorHAnsi" w:hAnsiTheme="minorHAnsi" w:cstheme="minorHAnsi"/>
                <w:bCs/>
                <w:lang w:val="fr-FR"/>
              </w:rPr>
            </w:pPr>
            <w:r w:rsidRPr="009A7BBB">
              <w:rPr>
                <w:rFonts w:asciiTheme="minorHAnsi" w:hAnsiTheme="minorHAnsi" w:cstheme="minorHAnsi"/>
                <w:bCs/>
                <w:lang w:val="fr-FR"/>
              </w:rPr>
              <w:t>13h</w:t>
            </w:r>
            <w:r w:rsidR="00531CCF">
              <w:rPr>
                <w:rFonts w:asciiTheme="minorHAnsi" w:hAnsiTheme="minorHAnsi" w:cstheme="minorHAnsi"/>
                <w:bCs/>
                <w:lang w:val="fr-FR"/>
              </w:rPr>
              <w:t>35</w:t>
            </w:r>
            <w:r w:rsidRPr="009A7BBB">
              <w:rPr>
                <w:rFonts w:asciiTheme="minorHAnsi" w:hAnsiTheme="minorHAnsi" w:cstheme="minorHAnsi"/>
                <w:bCs/>
                <w:lang w:val="fr-FR"/>
              </w:rPr>
              <w:t xml:space="preserve"> à 14h30</w:t>
            </w:r>
          </w:p>
        </w:tc>
        <w:tc>
          <w:tcPr>
            <w:tcW w:w="9576" w:type="dxa"/>
          </w:tcPr>
          <w:p w14:paraId="505062B7" w14:textId="77777777" w:rsidR="003F4650" w:rsidRPr="009A7BBB" w:rsidRDefault="003F4650" w:rsidP="003F4650">
            <w:pPr>
              <w:spacing w:before="120" w:after="120" w:line="269" w:lineRule="auto"/>
              <w:jc w:val="both"/>
              <w:rPr>
                <w:rFonts w:asciiTheme="minorHAnsi" w:hAnsiTheme="minorHAnsi" w:cstheme="minorHAnsi"/>
                <w:b/>
                <w:lang w:val="fr-FR"/>
              </w:rPr>
            </w:pPr>
            <w:r w:rsidRPr="009A7BBB">
              <w:rPr>
                <w:rFonts w:asciiTheme="minorHAnsi" w:hAnsiTheme="minorHAnsi" w:cstheme="minorHAnsi"/>
                <w:b/>
                <w:lang w:val="fr-FR"/>
              </w:rPr>
              <w:t>Séance en groupes : Réflexions du premier jour</w:t>
            </w:r>
          </w:p>
          <w:p w14:paraId="6F7A7E16" w14:textId="36E7E843" w:rsidR="003F4650" w:rsidRPr="009A7BBB" w:rsidRDefault="003F4650" w:rsidP="003F4650">
            <w:pPr>
              <w:spacing w:before="120" w:after="120" w:line="269" w:lineRule="auto"/>
              <w:jc w:val="both"/>
              <w:rPr>
                <w:rFonts w:asciiTheme="minorHAnsi" w:hAnsiTheme="minorHAnsi" w:cstheme="minorHAnsi"/>
                <w:bCs/>
                <w:lang w:val="fr-FR"/>
              </w:rPr>
            </w:pPr>
            <w:r w:rsidRPr="009A7BBB">
              <w:rPr>
                <w:rFonts w:asciiTheme="minorHAnsi" w:hAnsiTheme="minorHAnsi" w:cstheme="minorHAnsi"/>
                <w:bCs/>
                <w:lang w:val="fr-FR"/>
              </w:rPr>
              <w:t>Lors de discussions en petits groupes, chaque participant sera invité à faire part des points de la journée</w:t>
            </w:r>
            <w:r>
              <w:rPr>
                <w:rFonts w:asciiTheme="minorHAnsi" w:hAnsiTheme="minorHAnsi" w:cstheme="minorHAnsi"/>
                <w:bCs/>
                <w:lang w:val="fr-FR"/>
              </w:rPr>
              <w:t>,</w:t>
            </w:r>
            <w:r w:rsidRPr="009A7BBB">
              <w:rPr>
                <w:rFonts w:asciiTheme="minorHAnsi" w:hAnsiTheme="minorHAnsi" w:cstheme="minorHAnsi"/>
                <w:bCs/>
                <w:lang w:val="fr-FR"/>
              </w:rPr>
              <w:t xml:space="preserve"> qu’il importe selon lui de retenir et de la façon dont son pays a abordé le chiffrage, la budgétisation et le financement du vaccin anti-COVID-19.</w:t>
            </w:r>
          </w:p>
        </w:tc>
      </w:tr>
    </w:tbl>
    <w:p w14:paraId="4E9B9864" w14:textId="052D3D14" w:rsidR="00B21E9B" w:rsidRDefault="00B21E9B" w:rsidP="00223B6D">
      <w:pPr>
        <w:spacing w:before="120" w:after="120"/>
        <w:rPr>
          <w:rFonts w:cstheme="minorHAnsi"/>
          <w:lang w:val="fr-FR"/>
        </w:rPr>
      </w:pPr>
    </w:p>
    <w:p w14:paraId="338CE69B" w14:textId="77777777" w:rsidR="00B21E9B" w:rsidRDefault="00B21E9B">
      <w:pPr>
        <w:rPr>
          <w:rFonts w:cstheme="minorHAnsi"/>
          <w:lang w:val="fr-FR"/>
        </w:rPr>
      </w:pPr>
      <w:r>
        <w:rPr>
          <w:rFonts w:cstheme="minorHAnsi"/>
          <w:lang w:val="fr-FR"/>
        </w:rPr>
        <w:br w:type="page"/>
      </w:r>
    </w:p>
    <w:tbl>
      <w:tblPr>
        <w:tblStyle w:val="TableGrid0"/>
        <w:tblW w:w="10910" w:type="dxa"/>
        <w:jc w:val="center"/>
        <w:tblInd w:w="0" w:type="dxa"/>
        <w:tblCellMar>
          <w:top w:w="52" w:type="dxa"/>
          <w:left w:w="104" w:type="dxa"/>
          <w:right w:w="54" w:type="dxa"/>
        </w:tblCellMar>
        <w:tblLook w:val="04A0" w:firstRow="1" w:lastRow="0" w:firstColumn="1" w:lastColumn="0" w:noHBand="0" w:noVBand="1"/>
      </w:tblPr>
      <w:tblGrid>
        <w:gridCol w:w="1671"/>
        <w:gridCol w:w="9239"/>
      </w:tblGrid>
      <w:tr w:rsidR="00223B6D" w:rsidRPr="00E84115" w14:paraId="595B6B28" w14:textId="77777777" w:rsidTr="003F4650">
        <w:trPr>
          <w:trHeight w:val="263"/>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86A841E" w14:textId="237480AD" w:rsidR="00223B6D" w:rsidRPr="00B25AE6" w:rsidRDefault="00223B6D" w:rsidP="008E1B41">
            <w:pPr>
              <w:spacing w:before="120" w:after="120" w:line="259" w:lineRule="auto"/>
              <w:ind w:right="54"/>
              <w:jc w:val="center"/>
              <w:rPr>
                <w:rFonts w:cstheme="minorHAnsi"/>
                <w:b/>
                <w:lang w:val="pt-PT"/>
              </w:rPr>
            </w:pPr>
            <w:r w:rsidRPr="00B25AE6">
              <w:rPr>
                <w:rFonts w:cstheme="minorHAnsi"/>
                <w:b/>
                <w:lang w:val="pt-PT"/>
              </w:rPr>
              <w:lastRenderedPageBreak/>
              <w:t xml:space="preserve">Mercredi 14 avril 2021 (10h00 à </w:t>
            </w:r>
            <w:r w:rsidR="00FC08C0">
              <w:rPr>
                <w:rFonts w:cstheme="minorHAnsi"/>
                <w:b/>
                <w:lang w:val="pt-PT"/>
              </w:rPr>
              <w:t>1</w:t>
            </w:r>
            <w:r w:rsidR="00D36A97">
              <w:rPr>
                <w:rFonts w:cstheme="minorHAnsi"/>
                <w:b/>
                <w:lang w:val="pt-PT"/>
              </w:rPr>
              <w:t>3</w:t>
            </w:r>
            <w:r w:rsidR="00FC08C0">
              <w:rPr>
                <w:rFonts w:cstheme="minorHAnsi"/>
                <w:b/>
                <w:lang w:val="pt-PT"/>
              </w:rPr>
              <w:t>h00</w:t>
            </w:r>
            <w:r w:rsidRPr="00B25AE6">
              <w:rPr>
                <w:rFonts w:cstheme="minorHAnsi"/>
                <w:b/>
                <w:lang w:val="pt-PT"/>
              </w:rPr>
              <w:t xml:space="preserve"> TUC+2)</w:t>
            </w:r>
          </w:p>
        </w:tc>
      </w:tr>
      <w:tr w:rsidR="00223B6D" w:rsidRPr="009A7BBB" w14:paraId="1AE0E7FF" w14:textId="77777777" w:rsidTr="00D36A97">
        <w:trPr>
          <w:trHeight w:val="1052"/>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32ACBD4" w14:textId="3323A180" w:rsidR="00223B6D" w:rsidRPr="009A7BBB" w:rsidRDefault="00223B6D" w:rsidP="008E1B41">
            <w:pPr>
              <w:pStyle w:val="Boxtext"/>
              <w:spacing w:before="120" w:after="120"/>
              <w:rPr>
                <w:rFonts w:asciiTheme="minorHAnsi" w:hAnsiTheme="minorHAnsi" w:cstheme="minorHAnsi"/>
                <w:bCs/>
                <w:lang w:val="fr-FR"/>
              </w:rPr>
            </w:pPr>
            <w:r w:rsidRPr="009A7BBB">
              <w:rPr>
                <w:rFonts w:asciiTheme="minorHAnsi" w:hAnsiTheme="minorHAnsi" w:cstheme="minorHAnsi"/>
                <w:bCs/>
                <w:lang w:val="fr-FR"/>
              </w:rPr>
              <w:t>10h00 à 10h</w:t>
            </w:r>
            <w:r w:rsidR="00D36A97">
              <w:rPr>
                <w:rFonts w:asciiTheme="minorHAnsi" w:hAnsiTheme="minorHAnsi" w:cstheme="minorHAnsi"/>
                <w:bCs/>
                <w:lang w:val="fr-FR"/>
              </w:rPr>
              <w:t>15</w:t>
            </w:r>
          </w:p>
        </w:tc>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3FB7959D" w14:textId="3DC96600" w:rsidR="00223B6D" w:rsidRPr="00D36A97" w:rsidRDefault="00223B6D" w:rsidP="008E1B41">
            <w:pPr>
              <w:spacing w:before="120" w:after="120" w:line="269" w:lineRule="auto"/>
              <w:jc w:val="both"/>
              <w:rPr>
                <w:rFonts w:cstheme="minorHAnsi"/>
                <w:b/>
                <w:bCs/>
                <w:lang w:val="fr-FR"/>
              </w:rPr>
            </w:pPr>
            <w:r w:rsidRPr="009A7BBB">
              <w:rPr>
                <w:rFonts w:cstheme="minorHAnsi"/>
                <w:b/>
                <w:bCs/>
                <w:lang w:val="fr-FR"/>
              </w:rPr>
              <w:t xml:space="preserve">Récapitulatif de la première journée </w:t>
            </w:r>
          </w:p>
          <w:p w14:paraId="00F38FD1" w14:textId="77777777" w:rsidR="00223B6D" w:rsidRPr="009A7BBB" w:rsidRDefault="00223B6D" w:rsidP="008E1B41">
            <w:pPr>
              <w:spacing w:before="120" w:after="120" w:line="269" w:lineRule="auto"/>
              <w:jc w:val="both"/>
              <w:rPr>
                <w:rFonts w:cstheme="minorHAnsi"/>
                <w:b/>
                <w:bCs/>
                <w:lang w:val="fr-FR"/>
              </w:rPr>
            </w:pPr>
            <w:r w:rsidRPr="009A7BBB">
              <w:rPr>
                <w:rFonts w:cstheme="minorHAnsi"/>
                <w:b/>
                <w:bCs/>
                <w:lang w:val="fr-FR"/>
              </w:rPr>
              <w:t>Facilitatrice :</w:t>
            </w:r>
            <w:r w:rsidRPr="009A7BBB">
              <w:rPr>
                <w:rFonts w:cstheme="minorHAnsi"/>
                <w:lang w:val="fr-FR"/>
              </w:rPr>
              <w:t xml:space="preserve"> Danielle Serebro</w:t>
            </w:r>
            <w:r w:rsidRPr="009A7BBB">
              <w:rPr>
                <w:rFonts w:cstheme="minorHAnsi"/>
                <w:b/>
                <w:bCs/>
                <w:lang w:val="fr-FR"/>
              </w:rPr>
              <w:t xml:space="preserve"> </w:t>
            </w:r>
          </w:p>
        </w:tc>
      </w:tr>
      <w:tr w:rsidR="00223B6D" w:rsidRPr="00E84115" w14:paraId="475B6FFB" w14:textId="77777777" w:rsidTr="003F4650">
        <w:trPr>
          <w:trHeight w:val="263"/>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130D56A" w14:textId="63E0F136" w:rsidR="00223B6D" w:rsidRPr="009A7BBB" w:rsidRDefault="00223B6D" w:rsidP="008E1B41">
            <w:pPr>
              <w:pStyle w:val="Boxtext"/>
              <w:spacing w:before="120" w:after="120"/>
              <w:rPr>
                <w:rFonts w:asciiTheme="minorHAnsi" w:hAnsiTheme="minorHAnsi" w:cstheme="minorHAnsi"/>
                <w:b/>
                <w:lang w:val="fr-FR"/>
              </w:rPr>
            </w:pPr>
            <w:r w:rsidRPr="009A7BBB">
              <w:rPr>
                <w:rFonts w:asciiTheme="minorHAnsi" w:hAnsiTheme="minorHAnsi" w:cstheme="minorHAnsi"/>
                <w:b/>
                <w:lang w:val="fr-FR"/>
              </w:rPr>
              <w:t xml:space="preserve">Séance </w:t>
            </w:r>
            <w:r w:rsidR="00867BAA">
              <w:rPr>
                <w:rFonts w:asciiTheme="minorHAnsi" w:hAnsiTheme="minorHAnsi" w:cstheme="minorHAnsi"/>
                <w:b/>
                <w:lang w:val="fr-FR"/>
              </w:rPr>
              <w:t>5</w:t>
            </w:r>
          </w:p>
          <w:p w14:paraId="09781632" w14:textId="01E022B1" w:rsidR="00223B6D" w:rsidRPr="009A7BBB" w:rsidRDefault="00223B6D" w:rsidP="008E1B41">
            <w:pPr>
              <w:pStyle w:val="Boxtext"/>
              <w:spacing w:before="120" w:after="120"/>
              <w:rPr>
                <w:rFonts w:asciiTheme="minorHAnsi" w:hAnsiTheme="minorHAnsi" w:cstheme="minorHAnsi"/>
                <w:lang w:val="fr-FR"/>
              </w:rPr>
            </w:pPr>
            <w:r w:rsidRPr="009A7BBB">
              <w:rPr>
                <w:rFonts w:asciiTheme="minorHAnsi" w:hAnsiTheme="minorHAnsi" w:cstheme="minorHAnsi"/>
                <w:lang w:val="fr-FR"/>
              </w:rPr>
              <w:t>10h</w:t>
            </w:r>
            <w:r w:rsidR="00D36A97">
              <w:rPr>
                <w:rFonts w:asciiTheme="minorHAnsi" w:hAnsiTheme="minorHAnsi" w:cstheme="minorHAnsi"/>
                <w:lang w:val="fr-FR"/>
              </w:rPr>
              <w:t>15</w:t>
            </w:r>
            <w:r w:rsidRPr="009A7BBB">
              <w:rPr>
                <w:rFonts w:asciiTheme="minorHAnsi" w:hAnsiTheme="minorHAnsi" w:cstheme="minorHAnsi"/>
                <w:lang w:val="fr-FR"/>
              </w:rPr>
              <w:t xml:space="preserve"> à 11h</w:t>
            </w:r>
            <w:r w:rsidR="00D36A97">
              <w:rPr>
                <w:rFonts w:asciiTheme="minorHAnsi" w:hAnsiTheme="minorHAnsi" w:cstheme="minorHAnsi"/>
                <w:lang w:val="fr-FR"/>
              </w:rPr>
              <w:t>15</w:t>
            </w:r>
          </w:p>
        </w:tc>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5EF82D51" w14:textId="77777777" w:rsidR="00223B6D" w:rsidRPr="009A7BBB" w:rsidRDefault="00223B6D" w:rsidP="008E1B41">
            <w:pPr>
              <w:spacing w:before="120" w:after="120" w:line="269" w:lineRule="auto"/>
              <w:jc w:val="both"/>
              <w:rPr>
                <w:rFonts w:cstheme="minorHAnsi"/>
                <w:b/>
                <w:bCs/>
                <w:lang w:val="fr-FR"/>
              </w:rPr>
            </w:pPr>
            <w:r w:rsidRPr="009A7BBB">
              <w:rPr>
                <w:rFonts w:cstheme="minorHAnsi"/>
                <w:b/>
                <w:bCs/>
                <w:lang w:val="fr-FR"/>
              </w:rPr>
              <w:t xml:space="preserve">Contrats d’achat  </w:t>
            </w:r>
          </w:p>
          <w:p w14:paraId="71EF5C42" w14:textId="59906931" w:rsidR="00223B6D" w:rsidRDefault="00223B6D" w:rsidP="008E1B41">
            <w:pPr>
              <w:spacing w:before="120" w:after="120" w:line="269" w:lineRule="auto"/>
              <w:jc w:val="both"/>
              <w:rPr>
                <w:rFonts w:cstheme="minorHAnsi"/>
                <w:lang w:val="fr-FR"/>
              </w:rPr>
            </w:pPr>
            <w:r w:rsidRPr="009A7BBB">
              <w:rPr>
                <w:rFonts w:cstheme="minorHAnsi"/>
                <w:lang w:val="fr-FR"/>
              </w:rPr>
              <w:t xml:space="preserve">Lors de la première journée, nous avons examiné comment les gouvernements peuvent budgétiser et lever des fonds suffisants pour l’achat du vaccin contre la COVID-19. Toutefois, il est tout aussi important de savoir comment les gouvernements peuvent se procurer les vaccins de la manière la plus efficiente et efficace possible et garantir la réalisation de l’optimisation des ressources. Les gouvernements ont deux options principales pour acheter le vaccin : l’achat direct ou </w:t>
            </w:r>
            <w:r>
              <w:rPr>
                <w:rFonts w:cstheme="minorHAnsi"/>
                <w:lang w:val="fr-FR"/>
              </w:rPr>
              <w:t>l’achat</w:t>
            </w:r>
            <w:r w:rsidRPr="009A7BBB">
              <w:rPr>
                <w:rFonts w:cstheme="minorHAnsi"/>
                <w:lang w:val="fr-FR"/>
              </w:rPr>
              <w:t xml:space="preserve"> groupé. Au cours de cette séance, nous découvrirons comment ces options d’achat ont été utilisées et décidées pendant la crise actuelle, et comment les préoccupations concernant l’efficience et la responsabilisation en matière d’achat sont abordées en cas d’urgence.</w:t>
            </w:r>
          </w:p>
          <w:p w14:paraId="142071D7" w14:textId="0821861E" w:rsidR="00531CCF" w:rsidRPr="009A7BBB" w:rsidRDefault="00531CCF" w:rsidP="008E1B41">
            <w:pPr>
              <w:spacing w:before="120" w:after="120" w:line="269" w:lineRule="auto"/>
              <w:jc w:val="both"/>
              <w:rPr>
                <w:rFonts w:cstheme="minorHAnsi"/>
                <w:lang w:val="fr-FR"/>
              </w:rPr>
            </w:pPr>
            <w:r w:rsidRPr="009A7BBB">
              <w:rPr>
                <w:rFonts w:cstheme="minorHAnsi"/>
                <w:b/>
                <w:bCs/>
                <w:lang w:val="fr-FR"/>
              </w:rPr>
              <w:t>Une vue d’ensemble des engagements d’achat avancés et de la Plateforme africaine de fournitures médicales</w:t>
            </w:r>
            <w:r w:rsidRPr="009A7BBB">
              <w:rPr>
                <w:rFonts w:cstheme="minorHAnsi"/>
                <w:lang w:val="fr-FR"/>
              </w:rPr>
              <w:t>, par</w:t>
            </w:r>
            <w:r w:rsidR="00867BAA">
              <w:rPr>
                <w:rFonts w:cstheme="minorHAnsi"/>
                <w:lang w:val="fr-FR"/>
              </w:rPr>
              <w:t xml:space="preserve"> </w:t>
            </w:r>
            <w:r w:rsidR="00867BAA" w:rsidRPr="00867BAA">
              <w:rPr>
                <w:rFonts w:cstheme="minorHAnsi"/>
                <w:lang w:val="fr-FR"/>
              </w:rPr>
              <w:t xml:space="preserve">Chidinma IFEPE (Responsable des </w:t>
            </w:r>
            <w:r w:rsidR="00675A7E" w:rsidRPr="00867BAA">
              <w:rPr>
                <w:rFonts w:cstheme="minorHAnsi"/>
                <w:lang w:val="fr-FR"/>
              </w:rPr>
              <w:t>opérations :</w:t>
            </w:r>
            <w:r w:rsidR="00867BAA">
              <w:rPr>
                <w:rFonts w:cstheme="minorHAnsi"/>
                <w:lang w:val="fr-FR"/>
              </w:rPr>
              <w:t xml:space="preserve"> Plateforme africaine de fournitures médicales)</w:t>
            </w:r>
          </w:p>
          <w:p w14:paraId="06A60AAA" w14:textId="77777777" w:rsidR="00867BAA" w:rsidRDefault="00223B6D" w:rsidP="008E1B41">
            <w:pPr>
              <w:spacing w:before="120" w:after="120" w:line="269" w:lineRule="auto"/>
              <w:jc w:val="both"/>
              <w:rPr>
                <w:rFonts w:cstheme="minorHAnsi"/>
                <w:lang w:val="fr-FR"/>
              </w:rPr>
            </w:pPr>
            <w:r w:rsidRPr="009A7BBB">
              <w:rPr>
                <w:rFonts w:cstheme="minorHAnsi"/>
                <w:b/>
                <w:bCs/>
                <w:lang w:val="fr-FR"/>
              </w:rPr>
              <w:t>Passation des marchés d’urgence : trouver un équilibre entre l’efficience et la responsabilisation</w:t>
            </w:r>
            <w:r w:rsidRPr="009A7BBB">
              <w:rPr>
                <w:rFonts w:cstheme="minorHAnsi"/>
                <w:lang w:val="fr-FR"/>
              </w:rPr>
              <w:t xml:space="preserve">, par </w:t>
            </w:r>
            <w:r w:rsidR="00867BAA" w:rsidRPr="00867BAA">
              <w:rPr>
                <w:rFonts w:cstheme="minorHAnsi"/>
                <w:lang w:val="fr-FR"/>
              </w:rPr>
              <w:t>Dr Diop Samba (Chef des Affaires Réglementaires et Juridiques à l'Autorité de Régulation des Marchés Publics du Sénégal)</w:t>
            </w:r>
          </w:p>
          <w:p w14:paraId="29BF3984" w14:textId="77777777" w:rsidR="00223B6D" w:rsidRPr="009A7BBB" w:rsidRDefault="00223B6D" w:rsidP="008E1B41">
            <w:pPr>
              <w:spacing w:before="120" w:after="120" w:line="269" w:lineRule="auto"/>
              <w:jc w:val="both"/>
              <w:rPr>
                <w:rFonts w:cstheme="minorHAnsi"/>
                <w:lang w:val="fr-FR"/>
              </w:rPr>
            </w:pPr>
            <w:r w:rsidRPr="00B25AE6">
              <w:rPr>
                <w:rFonts w:cstheme="minorHAnsi"/>
                <w:lang w:val="fr-FR"/>
              </w:rPr>
              <w:t>Période de questions-réponses</w:t>
            </w:r>
          </w:p>
          <w:p w14:paraId="280E4AE1" w14:textId="42FCCC0D" w:rsidR="00223B6D" w:rsidRPr="009A7BBB" w:rsidRDefault="00223B6D" w:rsidP="008E1B41">
            <w:pPr>
              <w:spacing w:before="120" w:after="120" w:line="269" w:lineRule="auto"/>
              <w:jc w:val="both"/>
              <w:rPr>
                <w:rFonts w:cstheme="minorHAnsi"/>
                <w:b/>
                <w:bCs/>
                <w:lang w:val="fr-FR"/>
              </w:rPr>
            </w:pPr>
            <w:r w:rsidRPr="009A7BBB">
              <w:rPr>
                <w:rFonts w:cstheme="minorHAnsi"/>
                <w:b/>
                <w:bCs/>
                <w:lang w:val="fr-FR"/>
              </w:rPr>
              <w:t>Facilitat</w:t>
            </w:r>
            <w:r w:rsidR="00867BAA">
              <w:rPr>
                <w:rFonts w:cstheme="minorHAnsi"/>
                <w:b/>
                <w:bCs/>
                <w:lang w:val="fr-FR"/>
              </w:rPr>
              <w:t>rice</w:t>
            </w:r>
            <w:r w:rsidRPr="009A7BBB">
              <w:rPr>
                <w:rFonts w:cstheme="minorHAnsi"/>
                <w:b/>
                <w:bCs/>
                <w:lang w:val="fr-FR"/>
              </w:rPr>
              <w:t xml:space="preserve"> : </w:t>
            </w:r>
            <w:r w:rsidR="00B21E9B">
              <w:rPr>
                <w:rFonts w:cstheme="minorHAnsi"/>
                <w:lang w:val="fr-FR"/>
              </w:rPr>
              <w:t>Fr</w:t>
            </w:r>
            <w:r w:rsidR="00B21E9B">
              <w:rPr>
                <w:rFonts w:ascii="Calibri" w:hAnsi="Calibri" w:cs="Calibri"/>
                <w:lang w:val="fr-FR"/>
              </w:rPr>
              <w:t>é</w:t>
            </w:r>
            <w:r w:rsidR="00B21E9B">
              <w:rPr>
                <w:rFonts w:cstheme="minorHAnsi"/>
                <w:lang w:val="fr-FR"/>
              </w:rPr>
              <w:t>jus Lingue (</w:t>
            </w:r>
            <w:r w:rsidR="00B21E9B" w:rsidRPr="00B21E9B">
              <w:rPr>
                <w:rFonts w:cstheme="minorHAnsi"/>
                <w:lang w:val="fr-FR"/>
              </w:rPr>
              <w:t xml:space="preserve">Spécialiste en </w:t>
            </w:r>
            <w:proofErr w:type="spellStart"/>
            <w:r w:rsidR="00B21E9B" w:rsidRPr="00B21E9B">
              <w:rPr>
                <w:rFonts w:cstheme="minorHAnsi"/>
                <w:lang w:val="fr-FR"/>
              </w:rPr>
              <w:t>GFP</w:t>
            </w:r>
            <w:proofErr w:type="spellEnd"/>
            <w:r w:rsidR="00B21E9B" w:rsidRPr="00B21E9B">
              <w:rPr>
                <w:rFonts w:cstheme="minorHAnsi"/>
                <w:lang w:val="fr-FR"/>
              </w:rPr>
              <w:t xml:space="preserve"> de CABRI)</w:t>
            </w:r>
          </w:p>
        </w:tc>
      </w:tr>
      <w:tr w:rsidR="00223B6D" w:rsidRPr="009A7BBB" w14:paraId="41EF13C2" w14:textId="77777777" w:rsidTr="003F4650">
        <w:trPr>
          <w:trHeight w:val="263"/>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9E3CCA6" w14:textId="3E445C74" w:rsidR="00223B6D" w:rsidRPr="00867BAA" w:rsidRDefault="00867BAA" w:rsidP="008E1B41">
            <w:pPr>
              <w:pStyle w:val="Boxtext"/>
              <w:spacing w:before="120" w:after="120"/>
              <w:rPr>
                <w:rFonts w:asciiTheme="minorHAnsi" w:hAnsiTheme="minorHAnsi" w:cstheme="minorHAnsi"/>
                <w:bCs/>
                <w:lang w:val="fr-FR"/>
              </w:rPr>
            </w:pPr>
            <w:r w:rsidRPr="00867BAA">
              <w:rPr>
                <w:rFonts w:asciiTheme="minorHAnsi" w:hAnsiTheme="minorHAnsi" w:cstheme="minorHAnsi"/>
                <w:bCs/>
                <w:lang w:val="fr-FR"/>
              </w:rPr>
              <w:t>11h1</w:t>
            </w:r>
            <w:r w:rsidR="00D36A97">
              <w:rPr>
                <w:rFonts w:asciiTheme="minorHAnsi" w:hAnsiTheme="minorHAnsi" w:cstheme="minorHAnsi"/>
                <w:bCs/>
                <w:lang w:val="fr-FR"/>
              </w:rPr>
              <w:t>5</w:t>
            </w:r>
            <w:r w:rsidR="00223B6D" w:rsidRPr="00867BAA">
              <w:rPr>
                <w:rFonts w:asciiTheme="minorHAnsi" w:hAnsiTheme="minorHAnsi" w:cstheme="minorHAnsi"/>
                <w:bCs/>
                <w:lang w:val="fr-FR"/>
              </w:rPr>
              <w:t xml:space="preserve"> à 11h</w:t>
            </w:r>
            <w:r w:rsidR="00D36A97">
              <w:rPr>
                <w:rFonts w:asciiTheme="minorHAnsi" w:hAnsiTheme="minorHAnsi" w:cstheme="minorHAnsi"/>
                <w:bCs/>
                <w:lang w:val="fr-FR"/>
              </w:rPr>
              <w:t>20</w:t>
            </w:r>
          </w:p>
        </w:tc>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532EB553" w14:textId="4E11D1E1" w:rsidR="00223B6D" w:rsidRPr="007831BA" w:rsidRDefault="00D36A97" w:rsidP="008E1B41">
            <w:pPr>
              <w:pStyle w:val="Boxtext"/>
              <w:spacing w:before="120" w:after="120"/>
              <w:rPr>
                <w:rFonts w:asciiTheme="minorHAnsi" w:hAnsiTheme="minorHAnsi" w:cstheme="minorHAnsi"/>
                <w:bCs/>
                <w:lang w:val="fr-FR"/>
              </w:rPr>
            </w:pPr>
            <w:r>
              <w:rPr>
                <w:rFonts w:asciiTheme="minorHAnsi" w:hAnsiTheme="minorHAnsi" w:cstheme="minorHAnsi"/>
                <w:bCs/>
                <w:lang w:val="fr-FR"/>
              </w:rPr>
              <w:t>R</w:t>
            </w:r>
            <w:r w:rsidRPr="00D36A97">
              <w:rPr>
                <w:rFonts w:asciiTheme="minorHAnsi" w:hAnsiTheme="minorHAnsi" w:cstheme="minorHAnsi"/>
                <w:bCs/>
                <w:lang w:val="fr-FR"/>
              </w:rPr>
              <w:t>ésultats du sondage</w:t>
            </w:r>
          </w:p>
        </w:tc>
      </w:tr>
      <w:tr w:rsidR="00D36A97" w:rsidRPr="009A7BBB" w14:paraId="1F73C448" w14:textId="77777777" w:rsidTr="003F4650">
        <w:trPr>
          <w:trHeight w:val="263"/>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61E1E4B" w14:textId="57CF17DD" w:rsidR="00D36A97" w:rsidRPr="00867BAA" w:rsidRDefault="00D36A97" w:rsidP="008E1B41">
            <w:pPr>
              <w:pStyle w:val="Boxtext"/>
              <w:spacing w:before="120" w:after="120"/>
              <w:rPr>
                <w:rFonts w:asciiTheme="minorHAnsi" w:hAnsiTheme="minorHAnsi" w:cstheme="minorHAnsi"/>
                <w:bCs/>
                <w:lang w:val="fr-FR"/>
              </w:rPr>
            </w:pPr>
            <w:r>
              <w:rPr>
                <w:rFonts w:asciiTheme="minorHAnsi" w:hAnsiTheme="minorHAnsi" w:cstheme="minorHAnsi"/>
                <w:bCs/>
                <w:lang w:val="fr-FR"/>
              </w:rPr>
              <w:t xml:space="preserve">11h20 </w:t>
            </w:r>
            <w:r w:rsidRPr="00867BAA">
              <w:rPr>
                <w:rFonts w:asciiTheme="minorHAnsi" w:hAnsiTheme="minorHAnsi" w:cstheme="minorHAnsi"/>
                <w:bCs/>
                <w:lang w:val="fr-FR"/>
              </w:rPr>
              <w:t>à</w:t>
            </w:r>
            <w:r>
              <w:rPr>
                <w:rFonts w:asciiTheme="minorHAnsi" w:hAnsiTheme="minorHAnsi" w:cstheme="minorHAnsi"/>
                <w:bCs/>
                <w:lang w:val="fr-FR"/>
              </w:rPr>
              <w:t xml:space="preserve"> 11h30</w:t>
            </w:r>
          </w:p>
        </w:tc>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3C7CEBED" w14:textId="54A81AD9" w:rsidR="00D36A97" w:rsidRPr="007831BA" w:rsidRDefault="00D36A97" w:rsidP="008E1B41">
            <w:pPr>
              <w:pStyle w:val="Boxtext"/>
              <w:spacing w:before="120" w:after="120"/>
              <w:rPr>
                <w:rFonts w:asciiTheme="minorHAnsi" w:hAnsiTheme="minorHAnsi" w:cstheme="minorHAnsi"/>
                <w:bCs/>
                <w:lang w:val="fr-FR"/>
              </w:rPr>
            </w:pPr>
            <w:r w:rsidRPr="007831BA">
              <w:rPr>
                <w:rFonts w:asciiTheme="minorHAnsi" w:hAnsiTheme="minorHAnsi" w:cstheme="minorHAnsi"/>
                <w:bCs/>
                <w:lang w:val="fr-FR"/>
              </w:rPr>
              <w:t>Pause confort</w:t>
            </w:r>
          </w:p>
        </w:tc>
      </w:tr>
      <w:tr w:rsidR="00223B6D" w:rsidRPr="00E84115" w14:paraId="719E29EA" w14:textId="77777777" w:rsidTr="003F4650">
        <w:trPr>
          <w:trHeight w:val="484"/>
          <w:jc w:val="center"/>
        </w:trPr>
        <w:tc>
          <w:tcPr>
            <w:tcW w:w="1671" w:type="dxa"/>
            <w:tcBorders>
              <w:top w:val="single" w:sz="4" w:space="0" w:color="000000"/>
              <w:left w:val="single" w:sz="4" w:space="0" w:color="000000"/>
              <w:bottom w:val="single" w:sz="4" w:space="0" w:color="000000"/>
              <w:right w:val="single" w:sz="4" w:space="0" w:color="000000"/>
            </w:tcBorders>
          </w:tcPr>
          <w:p w14:paraId="0BD5D4D1" w14:textId="5D45FAEE" w:rsidR="00223B6D" w:rsidRPr="009A7BBB" w:rsidRDefault="00223B6D" w:rsidP="008E1B41">
            <w:pPr>
              <w:spacing w:before="120" w:after="120" w:line="259" w:lineRule="auto"/>
              <w:rPr>
                <w:rFonts w:cstheme="minorHAnsi"/>
                <w:b/>
                <w:bCs/>
                <w:lang w:val="fr-FR"/>
              </w:rPr>
            </w:pPr>
            <w:r w:rsidRPr="009A7BBB">
              <w:rPr>
                <w:rFonts w:cstheme="minorHAnsi"/>
                <w:b/>
                <w:bCs/>
                <w:lang w:val="fr-FR"/>
              </w:rPr>
              <w:t xml:space="preserve">Séance </w:t>
            </w:r>
            <w:r w:rsidR="00867BAA">
              <w:rPr>
                <w:rFonts w:cstheme="minorHAnsi"/>
                <w:b/>
                <w:bCs/>
                <w:lang w:val="fr-FR"/>
              </w:rPr>
              <w:t>6</w:t>
            </w:r>
          </w:p>
          <w:p w14:paraId="25521983" w14:textId="71227FEC" w:rsidR="00223B6D" w:rsidRPr="009A7BBB" w:rsidRDefault="00223B6D" w:rsidP="008E1B41">
            <w:pPr>
              <w:spacing w:before="120" w:after="120" w:line="259" w:lineRule="auto"/>
              <w:rPr>
                <w:rFonts w:cstheme="minorHAnsi"/>
                <w:lang w:val="fr-FR"/>
              </w:rPr>
            </w:pPr>
            <w:r w:rsidRPr="009A7BBB">
              <w:rPr>
                <w:rFonts w:cstheme="minorHAnsi"/>
                <w:lang w:val="fr-FR"/>
              </w:rPr>
              <w:t>11h</w:t>
            </w:r>
            <w:r w:rsidR="00D36A97">
              <w:rPr>
                <w:rFonts w:cstheme="minorHAnsi"/>
                <w:lang w:val="fr-FR"/>
              </w:rPr>
              <w:t>30</w:t>
            </w:r>
            <w:r w:rsidRPr="009A7BBB">
              <w:rPr>
                <w:rFonts w:cstheme="minorHAnsi"/>
                <w:lang w:val="fr-FR"/>
              </w:rPr>
              <w:t xml:space="preserve"> à 1</w:t>
            </w:r>
            <w:r w:rsidR="00867BAA">
              <w:rPr>
                <w:rFonts w:cstheme="minorHAnsi"/>
                <w:lang w:val="fr-FR"/>
              </w:rPr>
              <w:t>2</w:t>
            </w:r>
            <w:r w:rsidRPr="009A7BBB">
              <w:rPr>
                <w:rFonts w:cstheme="minorHAnsi"/>
                <w:lang w:val="fr-FR"/>
              </w:rPr>
              <w:t>h</w:t>
            </w:r>
            <w:r w:rsidR="00D36A97">
              <w:rPr>
                <w:rFonts w:cstheme="minorHAnsi"/>
                <w:lang w:val="fr-FR"/>
              </w:rPr>
              <w:t>45</w:t>
            </w:r>
          </w:p>
        </w:tc>
        <w:tc>
          <w:tcPr>
            <w:tcW w:w="9239" w:type="dxa"/>
            <w:tcBorders>
              <w:top w:val="single" w:sz="4" w:space="0" w:color="000000"/>
              <w:left w:val="single" w:sz="4" w:space="0" w:color="000000"/>
              <w:bottom w:val="single" w:sz="4" w:space="0" w:color="000000"/>
              <w:right w:val="single" w:sz="4" w:space="0" w:color="000000"/>
            </w:tcBorders>
          </w:tcPr>
          <w:p w14:paraId="59A98A49" w14:textId="77777777" w:rsidR="00223B6D" w:rsidRPr="00B25AE6" w:rsidRDefault="00223B6D" w:rsidP="008E1B41">
            <w:pPr>
              <w:spacing w:before="120" w:after="120" w:line="269" w:lineRule="auto"/>
              <w:jc w:val="both"/>
              <w:rPr>
                <w:rFonts w:eastAsiaTheme="minorHAnsi" w:cstheme="minorHAnsi"/>
                <w:b/>
                <w:lang w:val="fr-FR"/>
              </w:rPr>
            </w:pPr>
            <w:r w:rsidRPr="00B25AE6">
              <w:rPr>
                <w:rFonts w:eastAsiaTheme="minorHAnsi" w:cstheme="minorHAnsi"/>
                <w:b/>
                <w:lang w:val="fr-FR"/>
              </w:rPr>
              <w:t>Assurer l’efficacité du déploiement</w:t>
            </w:r>
          </w:p>
          <w:p w14:paraId="582AE83D" w14:textId="77777777" w:rsidR="00223B6D" w:rsidRPr="00B25AE6" w:rsidRDefault="00223B6D" w:rsidP="008E1B41">
            <w:pPr>
              <w:spacing w:before="120" w:after="120" w:line="269" w:lineRule="auto"/>
              <w:jc w:val="both"/>
              <w:rPr>
                <w:rFonts w:eastAsiaTheme="minorHAnsi" w:cstheme="minorHAnsi"/>
                <w:bCs/>
                <w:lang w:val="fr-FR"/>
              </w:rPr>
            </w:pPr>
            <w:r w:rsidRPr="00B25AE6">
              <w:rPr>
                <w:rFonts w:cstheme="minorHAnsi"/>
                <w:bCs/>
                <w:lang w:val="fr-FR"/>
              </w:rPr>
              <w:t>Le D</w:t>
            </w:r>
            <w:r w:rsidRPr="00B25AE6">
              <w:rPr>
                <w:rFonts w:cstheme="minorHAnsi"/>
                <w:bCs/>
                <w:vertAlign w:val="superscript"/>
                <w:lang w:val="fr-FR"/>
              </w:rPr>
              <w:t>r</w:t>
            </w:r>
            <w:r w:rsidRPr="00B25AE6">
              <w:rPr>
                <w:rFonts w:cstheme="minorHAnsi"/>
                <w:bCs/>
                <w:lang w:val="fr-FR"/>
              </w:rPr>
              <w:t xml:space="preserve">. </w:t>
            </w:r>
            <w:proofErr w:type="spellStart"/>
            <w:r w:rsidRPr="00B25AE6">
              <w:rPr>
                <w:rFonts w:cstheme="minorHAnsi"/>
                <w:bCs/>
                <w:lang w:val="fr-FR"/>
              </w:rPr>
              <w:t>Kwaku</w:t>
            </w:r>
            <w:proofErr w:type="spellEnd"/>
            <w:r w:rsidRPr="00B25AE6">
              <w:rPr>
                <w:rFonts w:cstheme="minorHAnsi"/>
                <w:bCs/>
                <w:lang w:val="fr-FR"/>
              </w:rPr>
              <w:t xml:space="preserve"> </w:t>
            </w:r>
            <w:proofErr w:type="spellStart"/>
            <w:r w:rsidRPr="00B25AE6">
              <w:rPr>
                <w:rFonts w:cstheme="minorHAnsi"/>
                <w:bCs/>
                <w:lang w:val="fr-FR"/>
              </w:rPr>
              <w:t>Agyeman</w:t>
            </w:r>
            <w:proofErr w:type="spellEnd"/>
            <w:r w:rsidRPr="00B25AE6">
              <w:rPr>
                <w:rFonts w:cstheme="minorHAnsi"/>
                <w:bCs/>
                <w:lang w:val="fr-FR"/>
              </w:rPr>
              <w:t>-Manu, ministre ghanéen de la Santé,</w:t>
            </w:r>
            <w:r w:rsidRPr="00B25AE6">
              <w:rPr>
                <w:rFonts w:cstheme="minorHAnsi"/>
                <w:lang w:val="fr-FR"/>
              </w:rPr>
              <w:t xml:space="preserve"> a </w:t>
            </w:r>
            <w:r w:rsidRPr="00B25AE6">
              <w:rPr>
                <w:rFonts w:cstheme="minorHAnsi"/>
                <w:bCs/>
                <w:lang w:val="fr-FR"/>
              </w:rPr>
              <w:t>noté : « Comme nous l’avons appris avec l’immunisation systématique, les vaccins ne sauvent pas des vies, seule la vaccination le fait, ce qui signifie que nous devons disposer des infrastructures sanitaires nécessaires - de la chaîne d’approvisionnement et de la logistique aux personnel de santé bien formé - pour assurer une distribution efficace et rationalisée des vaccins ».</w:t>
            </w:r>
            <w:r w:rsidRPr="00B25AE6">
              <w:rPr>
                <w:rStyle w:val="FootnoteReference"/>
                <w:rFonts w:cstheme="minorHAnsi"/>
                <w:bCs/>
                <w:lang w:val="fr-FR"/>
              </w:rPr>
              <w:footnoteReference w:id="1"/>
            </w:r>
            <w:r w:rsidRPr="00B25AE6">
              <w:rPr>
                <w:rFonts w:cstheme="minorHAnsi"/>
                <w:bCs/>
                <w:lang w:val="fr-FR"/>
              </w:rPr>
              <w:t xml:space="preserve"> Selon l’Outil d'évaluation de l'état de préparation à l'introduction du vaccin contre la COVID-19 (VIRAT) de l’OMS, reposant sur les informations fournies par les pays, l’Afrique en tant que région affiche un score de 33 % de préparation pour le déploiement du vaccin contre la COVID-19, ce qui  est bien en deçà du niveau de référence de 80 %. En outre, </w:t>
            </w:r>
            <w:r w:rsidRPr="00B25AE6">
              <w:rPr>
                <w:rFonts w:cstheme="minorHAnsi"/>
                <w:bCs/>
                <w:lang w:val="fr-FR"/>
              </w:rPr>
              <w:lastRenderedPageBreak/>
              <w:t>seulement 24 % d’entre eux ont indiqué disposer de plans ad</w:t>
            </w:r>
            <w:r w:rsidRPr="00B25AE6">
              <w:rPr>
                <w:rFonts w:cstheme="minorHAnsi"/>
                <w:lang w:val="fr-FR"/>
              </w:rPr>
              <w:t>équats pour les ressources et le financement du déploiement.</w:t>
            </w:r>
            <w:r w:rsidRPr="00B25AE6">
              <w:rPr>
                <w:rStyle w:val="FootnoteReference"/>
                <w:rFonts w:eastAsiaTheme="minorHAnsi" w:cstheme="minorHAnsi"/>
                <w:bCs/>
                <w:lang w:val="fr-FR"/>
              </w:rPr>
              <w:footnoteReference w:id="2"/>
            </w:r>
            <w:r w:rsidRPr="00B25AE6">
              <w:rPr>
                <w:rFonts w:eastAsiaTheme="minorHAnsi" w:cstheme="minorHAnsi"/>
                <w:bCs/>
                <w:lang w:val="fr-FR"/>
              </w:rPr>
              <w:t xml:space="preserve"> </w:t>
            </w:r>
          </w:p>
          <w:p w14:paraId="011C3E36" w14:textId="574C4F93" w:rsidR="00223B6D" w:rsidRDefault="00223B6D" w:rsidP="008E1B41">
            <w:pPr>
              <w:spacing w:before="120" w:after="120" w:line="269" w:lineRule="auto"/>
              <w:jc w:val="both"/>
              <w:rPr>
                <w:rFonts w:cstheme="minorHAnsi"/>
                <w:bCs/>
                <w:lang w:val="fr-FR"/>
              </w:rPr>
            </w:pPr>
            <w:r w:rsidRPr="00B25AE6">
              <w:rPr>
                <w:rFonts w:cstheme="minorHAnsi"/>
                <w:bCs/>
                <w:lang w:val="fr-FR"/>
              </w:rPr>
              <w:t xml:space="preserve">Le financement du déploiement des vaccins, </w:t>
            </w:r>
            <w:r w:rsidRPr="00B25AE6">
              <w:rPr>
                <w:rFonts w:cstheme="minorHAnsi"/>
                <w:lang w:val="fr-FR"/>
              </w:rPr>
              <w:t xml:space="preserve">en particulier la distribution de « dernière </w:t>
            </w:r>
            <w:r w:rsidRPr="00B25AE6">
              <w:rPr>
                <w:rFonts w:cstheme="minorHAnsi"/>
                <w:bCs/>
                <w:lang w:val="fr-FR"/>
              </w:rPr>
              <w:t>ligne droite »,</w:t>
            </w:r>
            <w:r w:rsidRPr="00B25AE6">
              <w:rPr>
                <w:rFonts w:cstheme="minorHAnsi"/>
                <w:lang w:val="fr-FR"/>
              </w:rPr>
              <w:t xml:space="preserve"> a toujours été négligée tant par les partenaires du développement que par les </w:t>
            </w:r>
            <w:r w:rsidRPr="00B25AE6">
              <w:rPr>
                <w:rFonts w:cstheme="minorHAnsi"/>
                <w:bCs/>
                <w:lang w:val="fr-FR"/>
              </w:rPr>
              <w:t xml:space="preserve">décideurs </w:t>
            </w:r>
            <w:r w:rsidRPr="00B25AE6">
              <w:rPr>
                <w:rFonts w:cstheme="minorHAnsi"/>
                <w:lang w:val="fr-FR"/>
              </w:rPr>
              <w:t>politiques et il est donc essentiel que</w:t>
            </w:r>
            <w:r w:rsidRPr="00B25AE6">
              <w:rPr>
                <w:rFonts w:cstheme="minorHAnsi"/>
                <w:bCs/>
                <w:lang w:val="fr-FR"/>
              </w:rPr>
              <w:t xml:space="preserve"> cette erreur ne soit pas commise pour le vaccin anti-COVID-19. Au cours de cette séance, nous examinerons</w:t>
            </w:r>
            <w:r w:rsidRPr="00B25AE6">
              <w:rPr>
                <w:rFonts w:cstheme="minorHAnsi"/>
                <w:lang w:val="fr-FR"/>
              </w:rPr>
              <w:t xml:space="preserve"> comment les pays peuvent chiffrer et</w:t>
            </w:r>
            <w:r w:rsidRPr="00B25AE6">
              <w:rPr>
                <w:rFonts w:cstheme="minorHAnsi"/>
                <w:bCs/>
                <w:lang w:val="fr-FR"/>
              </w:rPr>
              <w:t xml:space="preserve"> budgétiser</w:t>
            </w:r>
            <w:r w:rsidRPr="00B25AE6">
              <w:rPr>
                <w:rFonts w:cstheme="minorHAnsi"/>
                <w:lang w:val="fr-FR"/>
              </w:rPr>
              <w:t xml:space="preserve"> le déploiement, utiliser le secteur privé et les</w:t>
            </w:r>
            <w:r w:rsidRPr="00B25AE6">
              <w:rPr>
                <w:rFonts w:cstheme="minorHAnsi"/>
                <w:bCs/>
                <w:lang w:val="fr-FR"/>
              </w:rPr>
              <w:t xml:space="preserve"> organismes à but non lucratif (</w:t>
            </w:r>
            <w:proofErr w:type="spellStart"/>
            <w:r w:rsidRPr="00B25AE6">
              <w:rPr>
                <w:rFonts w:cstheme="minorHAnsi"/>
                <w:bCs/>
                <w:lang w:val="fr-FR"/>
              </w:rPr>
              <w:t>OBNL</w:t>
            </w:r>
            <w:proofErr w:type="spellEnd"/>
            <w:r w:rsidRPr="00B25AE6">
              <w:rPr>
                <w:rFonts w:cstheme="minorHAnsi"/>
                <w:bCs/>
                <w:lang w:val="fr-FR"/>
              </w:rPr>
              <w:t xml:space="preserve">), </w:t>
            </w:r>
            <w:r w:rsidRPr="00B25AE6">
              <w:rPr>
                <w:rFonts w:cstheme="minorHAnsi"/>
                <w:lang w:val="fr-FR"/>
              </w:rPr>
              <w:t>et s’assurer de l’acheminement efficace des</w:t>
            </w:r>
            <w:r w:rsidRPr="00B25AE6">
              <w:rPr>
                <w:rFonts w:cstheme="minorHAnsi"/>
                <w:bCs/>
                <w:lang w:val="fr-FR"/>
              </w:rPr>
              <w:t xml:space="preserve"> fonds vers les centres de prestation de services.</w:t>
            </w:r>
          </w:p>
          <w:p w14:paraId="259599A3" w14:textId="1109E957" w:rsidR="00867BAA" w:rsidRPr="00B25AE6" w:rsidRDefault="00867BAA" w:rsidP="008E1B41">
            <w:pPr>
              <w:spacing w:before="120" w:after="120" w:line="269" w:lineRule="auto"/>
              <w:jc w:val="both"/>
              <w:rPr>
                <w:rFonts w:eastAsiaTheme="minorHAnsi" w:cstheme="minorHAnsi"/>
                <w:bCs/>
                <w:lang w:val="fr-FR"/>
              </w:rPr>
            </w:pPr>
            <w:r w:rsidRPr="00867BAA">
              <w:rPr>
                <w:rFonts w:eastAsiaTheme="minorHAnsi" w:cstheme="minorHAnsi"/>
                <w:b/>
                <w:lang w:val="fr-FR"/>
              </w:rPr>
              <w:t xml:space="preserve">Conclusions de l'examen de cadrage de la </w:t>
            </w:r>
            <w:proofErr w:type="spellStart"/>
            <w:r w:rsidRPr="00867BAA">
              <w:rPr>
                <w:rFonts w:eastAsiaTheme="minorHAnsi" w:cstheme="minorHAnsi"/>
                <w:b/>
                <w:lang w:val="fr-FR"/>
              </w:rPr>
              <w:t>GFP</w:t>
            </w:r>
            <w:proofErr w:type="spellEnd"/>
            <w:r w:rsidRPr="00867BAA">
              <w:rPr>
                <w:rFonts w:eastAsiaTheme="minorHAnsi" w:cstheme="minorHAnsi"/>
                <w:b/>
                <w:lang w:val="fr-FR"/>
              </w:rPr>
              <w:t xml:space="preserve"> et du déploiement des vaccins</w:t>
            </w:r>
            <w:r w:rsidRPr="00867BAA">
              <w:rPr>
                <w:rFonts w:eastAsiaTheme="minorHAnsi" w:cstheme="minorHAnsi"/>
                <w:bCs/>
                <w:lang w:val="fr-FR"/>
              </w:rPr>
              <w:t xml:space="preserve"> par Dr Hélène </w:t>
            </w:r>
            <w:proofErr w:type="spellStart"/>
            <w:r w:rsidRPr="00867BAA">
              <w:rPr>
                <w:rFonts w:eastAsiaTheme="minorHAnsi" w:cstheme="minorHAnsi"/>
                <w:bCs/>
                <w:lang w:val="fr-FR"/>
              </w:rPr>
              <w:t>Barroy</w:t>
            </w:r>
            <w:proofErr w:type="spellEnd"/>
            <w:r w:rsidRPr="00867BAA">
              <w:rPr>
                <w:rFonts w:eastAsiaTheme="minorHAnsi" w:cstheme="minorHAnsi"/>
                <w:bCs/>
                <w:lang w:val="fr-FR"/>
              </w:rPr>
              <w:t xml:space="preserve"> (Expert</w:t>
            </w:r>
            <w:r>
              <w:rPr>
                <w:rFonts w:eastAsiaTheme="minorHAnsi" w:cstheme="minorHAnsi"/>
                <w:bCs/>
                <w:lang w:val="fr-FR"/>
              </w:rPr>
              <w:t>e</w:t>
            </w:r>
            <w:r w:rsidRPr="00867BAA">
              <w:rPr>
                <w:rFonts w:eastAsiaTheme="minorHAnsi" w:cstheme="minorHAnsi"/>
                <w:bCs/>
                <w:lang w:val="fr-FR"/>
              </w:rPr>
              <w:t xml:space="preserve"> principal</w:t>
            </w:r>
            <w:r>
              <w:rPr>
                <w:rFonts w:eastAsiaTheme="minorHAnsi" w:cstheme="minorHAnsi"/>
                <w:bCs/>
                <w:lang w:val="fr-FR"/>
              </w:rPr>
              <w:t>e</w:t>
            </w:r>
            <w:r w:rsidRPr="00867BAA">
              <w:rPr>
                <w:rFonts w:eastAsiaTheme="minorHAnsi" w:cstheme="minorHAnsi"/>
                <w:bCs/>
                <w:lang w:val="fr-FR"/>
              </w:rPr>
              <w:t xml:space="preserve"> en finances </w:t>
            </w:r>
            <w:r w:rsidR="007831BA" w:rsidRPr="00867BAA">
              <w:rPr>
                <w:rFonts w:eastAsiaTheme="minorHAnsi" w:cstheme="minorHAnsi"/>
                <w:bCs/>
                <w:lang w:val="fr-FR"/>
              </w:rPr>
              <w:t>publiques :</w:t>
            </w:r>
            <w:r w:rsidRPr="00867BAA">
              <w:rPr>
                <w:rFonts w:eastAsiaTheme="minorHAnsi" w:cstheme="minorHAnsi"/>
                <w:bCs/>
                <w:lang w:val="fr-FR"/>
              </w:rPr>
              <w:t xml:space="preserve"> Département de la gouvernance et du financement des systèmes de santé, Organisation mondiale de la Santé)</w:t>
            </w:r>
          </w:p>
          <w:p w14:paraId="6EA3FB91" w14:textId="3352CC6D" w:rsidR="00867BAA" w:rsidRPr="00867BAA" w:rsidRDefault="00867BAA" w:rsidP="008E1B41">
            <w:pPr>
              <w:spacing w:before="120" w:after="120" w:line="269" w:lineRule="auto"/>
              <w:jc w:val="both"/>
              <w:rPr>
                <w:rFonts w:eastAsiaTheme="minorHAnsi" w:cstheme="minorHAnsi"/>
                <w:bCs/>
                <w:lang w:val="fr-FR"/>
              </w:rPr>
            </w:pPr>
            <w:r w:rsidRPr="00867BAA">
              <w:rPr>
                <w:rFonts w:eastAsiaTheme="minorHAnsi" w:cstheme="minorHAnsi"/>
                <w:b/>
                <w:lang w:val="fr-FR"/>
              </w:rPr>
              <w:t xml:space="preserve">Planification du déploiement du programme de vaccination </w:t>
            </w:r>
            <w:r>
              <w:rPr>
                <w:rFonts w:eastAsiaTheme="minorHAnsi" w:cstheme="minorHAnsi"/>
                <w:b/>
                <w:lang w:val="fr-FR"/>
              </w:rPr>
              <w:t>anti-</w:t>
            </w:r>
            <w:r w:rsidRPr="00867BAA">
              <w:rPr>
                <w:rFonts w:eastAsiaTheme="minorHAnsi" w:cstheme="minorHAnsi"/>
                <w:b/>
                <w:lang w:val="fr-FR"/>
              </w:rPr>
              <w:t xml:space="preserve"> COVID-19 au Nigéria </w:t>
            </w:r>
            <w:r w:rsidRPr="00867BAA">
              <w:rPr>
                <w:rFonts w:eastAsiaTheme="minorHAnsi" w:cstheme="minorHAnsi"/>
                <w:bCs/>
                <w:lang w:val="fr-FR"/>
              </w:rPr>
              <w:t>par le Dr Bakunawa Garba Bello (médecin-chef du service de contrôle des maladies et de vaccination de l'Agence nationale de développement des soins de santé primaires (</w:t>
            </w:r>
            <w:proofErr w:type="spellStart"/>
            <w:r w:rsidRPr="00867BAA">
              <w:rPr>
                <w:rFonts w:eastAsiaTheme="minorHAnsi" w:cstheme="minorHAnsi"/>
                <w:bCs/>
                <w:lang w:val="fr-FR"/>
              </w:rPr>
              <w:t>NPHCDA</w:t>
            </w:r>
            <w:proofErr w:type="spellEnd"/>
            <w:r w:rsidRPr="00867BAA">
              <w:rPr>
                <w:rFonts w:eastAsiaTheme="minorHAnsi" w:cstheme="minorHAnsi"/>
                <w:bCs/>
                <w:lang w:val="fr-FR"/>
              </w:rPr>
              <w:t>)</w:t>
            </w:r>
          </w:p>
          <w:p w14:paraId="4D6A1003" w14:textId="2C2404EE" w:rsidR="00223B6D" w:rsidRPr="00B25AE6" w:rsidRDefault="00223B6D" w:rsidP="008E1B41">
            <w:pPr>
              <w:spacing w:before="120" w:after="120" w:line="269" w:lineRule="auto"/>
              <w:jc w:val="both"/>
              <w:rPr>
                <w:rFonts w:eastAsiaTheme="minorHAnsi" w:cstheme="minorHAnsi"/>
                <w:bCs/>
                <w:lang w:val="fr-FR"/>
              </w:rPr>
            </w:pPr>
            <w:r w:rsidRPr="00B25AE6">
              <w:rPr>
                <w:rFonts w:eastAsiaTheme="minorHAnsi" w:cstheme="minorHAnsi"/>
                <w:bCs/>
                <w:lang w:val="fr-FR"/>
              </w:rPr>
              <w:t>Période de questions-réponses</w:t>
            </w:r>
          </w:p>
          <w:p w14:paraId="78F53278" w14:textId="77777777" w:rsidR="00223B6D" w:rsidRPr="00B25AE6" w:rsidRDefault="00223B6D" w:rsidP="008E1B41">
            <w:pPr>
              <w:rPr>
                <w:rFonts w:cstheme="minorHAnsi"/>
                <w:lang w:val="fr-FR"/>
              </w:rPr>
            </w:pPr>
            <w:r w:rsidRPr="00B25AE6">
              <w:rPr>
                <w:rFonts w:cstheme="minorHAnsi"/>
                <w:b/>
                <w:bCs/>
                <w:lang w:val="fr-FR"/>
              </w:rPr>
              <w:t>Facilitateur :</w:t>
            </w:r>
            <w:r w:rsidRPr="00B25AE6">
              <w:rPr>
                <w:rFonts w:cstheme="minorHAnsi"/>
                <w:lang w:val="fr-FR"/>
              </w:rPr>
              <w:t xml:space="preserve"> Biniam Bedasso (Spécialiste en </w:t>
            </w:r>
            <w:proofErr w:type="spellStart"/>
            <w:r w:rsidRPr="00B25AE6">
              <w:rPr>
                <w:rFonts w:cstheme="minorHAnsi"/>
                <w:lang w:val="fr-FR"/>
              </w:rPr>
              <w:t>GFP</w:t>
            </w:r>
            <w:proofErr w:type="spellEnd"/>
            <w:r w:rsidRPr="00B25AE6">
              <w:rPr>
                <w:rFonts w:cstheme="minorHAnsi"/>
                <w:lang w:val="fr-FR"/>
              </w:rPr>
              <w:t xml:space="preserve"> de CABRI)</w:t>
            </w:r>
          </w:p>
        </w:tc>
      </w:tr>
      <w:tr w:rsidR="00223B6D" w:rsidRPr="00E84115" w14:paraId="535732BE" w14:textId="77777777" w:rsidTr="003F4650">
        <w:trPr>
          <w:trHeight w:val="484"/>
          <w:jc w:val="center"/>
        </w:trPr>
        <w:tc>
          <w:tcPr>
            <w:tcW w:w="1671" w:type="dxa"/>
            <w:tcBorders>
              <w:top w:val="single" w:sz="4" w:space="0" w:color="000000"/>
              <w:left w:val="single" w:sz="4" w:space="0" w:color="000000"/>
              <w:bottom w:val="single" w:sz="4" w:space="0" w:color="000000"/>
              <w:right w:val="single" w:sz="4" w:space="0" w:color="000000"/>
            </w:tcBorders>
          </w:tcPr>
          <w:p w14:paraId="72D22A3B" w14:textId="30E80F3E" w:rsidR="00223B6D" w:rsidRPr="009A7BBB" w:rsidRDefault="00223B6D" w:rsidP="008E1B41">
            <w:pPr>
              <w:spacing w:before="120" w:after="120" w:line="259" w:lineRule="auto"/>
              <w:rPr>
                <w:rFonts w:cstheme="minorHAnsi"/>
                <w:lang w:val="fr-FR"/>
              </w:rPr>
            </w:pPr>
            <w:r w:rsidRPr="009A7BBB">
              <w:rPr>
                <w:rFonts w:cstheme="minorHAnsi"/>
                <w:lang w:val="fr-FR"/>
              </w:rPr>
              <w:lastRenderedPageBreak/>
              <w:t>1</w:t>
            </w:r>
            <w:r w:rsidR="00D36A97">
              <w:rPr>
                <w:rFonts w:cstheme="minorHAnsi"/>
                <w:lang w:val="fr-FR"/>
              </w:rPr>
              <w:t>2</w:t>
            </w:r>
            <w:r w:rsidRPr="009A7BBB">
              <w:rPr>
                <w:rFonts w:cstheme="minorHAnsi"/>
                <w:lang w:val="fr-FR"/>
              </w:rPr>
              <w:t>h</w:t>
            </w:r>
            <w:r w:rsidR="00D36A97">
              <w:rPr>
                <w:rFonts w:cstheme="minorHAnsi"/>
                <w:lang w:val="fr-FR"/>
              </w:rPr>
              <w:t>4</w:t>
            </w:r>
            <w:r w:rsidR="00867BAA">
              <w:rPr>
                <w:rFonts w:cstheme="minorHAnsi"/>
                <w:lang w:val="fr-FR"/>
              </w:rPr>
              <w:t>5</w:t>
            </w:r>
            <w:r w:rsidRPr="009A7BBB">
              <w:rPr>
                <w:rFonts w:cstheme="minorHAnsi"/>
                <w:lang w:val="fr-FR"/>
              </w:rPr>
              <w:t xml:space="preserve"> à 1</w:t>
            </w:r>
            <w:r w:rsidR="00D36A97">
              <w:rPr>
                <w:rFonts w:cstheme="minorHAnsi"/>
                <w:lang w:val="fr-FR"/>
              </w:rPr>
              <w:t>3</w:t>
            </w:r>
            <w:r w:rsidR="00867BAA">
              <w:rPr>
                <w:rFonts w:cstheme="minorHAnsi"/>
                <w:lang w:val="fr-FR"/>
              </w:rPr>
              <w:t>h00</w:t>
            </w:r>
          </w:p>
        </w:tc>
        <w:tc>
          <w:tcPr>
            <w:tcW w:w="9239" w:type="dxa"/>
            <w:tcBorders>
              <w:top w:val="single" w:sz="4" w:space="0" w:color="000000"/>
              <w:left w:val="single" w:sz="4" w:space="0" w:color="000000"/>
              <w:bottom w:val="single" w:sz="4" w:space="0" w:color="000000"/>
              <w:right w:val="single" w:sz="4" w:space="0" w:color="000000"/>
            </w:tcBorders>
          </w:tcPr>
          <w:p w14:paraId="03AB07CF" w14:textId="77777777" w:rsidR="00223B6D" w:rsidRPr="009A7BBB" w:rsidRDefault="00223B6D" w:rsidP="008E1B41">
            <w:pPr>
              <w:spacing w:before="120" w:after="120" w:line="269" w:lineRule="auto"/>
              <w:jc w:val="both"/>
              <w:rPr>
                <w:rFonts w:cstheme="minorHAnsi"/>
                <w:b/>
                <w:lang w:val="fr-FR"/>
              </w:rPr>
            </w:pPr>
            <w:r w:rsidRPr="009A7BBB">
              <w:rPr>
                <w:rFonts w:cstheme="minorHAnsi"/>
                <w:b/>
                <w:lang w:val="fr-FR"/>
              </w:rPr>
              <w:t xml:space="preserve">Remarques finales </w:t>
            </w:r>
            <w:r w:rsidRPr="009A7BBB">
              <w:rPr>
                <w:rFonts w:cstheme="minorHAnsi"/>
                <w:bCs/>
                <w:lang w:val="fr-FR"/>
              </w:rPr>
              <w:t xml:space="preserve">par Neil Cole </w:t>
            </w:r>
          </w:p>
        </w:tc>
      </w:tr>
      <w:bookmarkEnd w:id="0"/>
    </w:tbl>
    <w:p w14:paraId="6A5533FA" w14:textId="77777777" w:rsidR="0087680D" w:rsidRPr="00676D2C" w:rsidRDefault="00FC7B1D" w:rsidP="00867BAA">
      <w:pPr>
        <w:rPr>
          <w:lang w:val="fr-FR"/>
        </w:rPr>
      </w:pPr>
    </w:p>
    <w:sectPr w:rsidR="0087680D" w:rsidRPr="00676D2C" w:rsidSect="00543425">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485F3" w14:textId="77777777" w:rsidR="00FC7B1D" w:rsidRDefault="00FC7B1D" w:rsidP="00223B6D">
      <w:pPr>
        <w:spacing w:after="0" w:line="240" w:lineRule="auto"/>
      </w:pPr>
      <w:r>
        <w:separator/>
      </w:r>
    </w:p>
  </w:endnote>
  <w:endnote w:type="continuationSeparator" w:id="0">
    <w:p w14:paraId="7C9DE6B4" w14:textId="77777777" w:rsidR="00FC7B1D" w:rsidRDefault="00FC7B1D" w:rsidP="0022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781177"/>
      <w:docPartObj>
        <w:docPartGallery w:val="Page Numbers (Bottom of Page)"/>
        <w:docPartUnique/>
      </w:docPartObj>
    </w:sdtPr>
    <w:sdtEndPr>
      <w:rPr>
        <w:noProof/>
      </w:rPr>
    </w:sdtEndPr>
    <w:sdtContent>
      <w:p w14:paraId="17A8CE59" w14:textId="36CA978B" w:rsidR="008E565F" w:rsidRDefault="008E5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CCCB1" w14:textId="77777777" w:rsidR="008E565F" w:rsidRDefault="008E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E1168" w14:textId="77777777" w:rsidR="00FC7B1D" w:rsidRDefault="00FC7B1D" w:rsidP="00223B6D">
      <w:pPr>
        <w:spacing w:after="0" w:line="240" w:lineRule="auto"/>
      </w:pPr>
      <w:r>
        <w:separator/>
      </w:r>
    </w:p>
  </w:footnote>
  <w:footnote w:type="continuationSeparator" w:id="0">
    <w:p w14:paraId="05094F5E" w14:textId="77777777" w:rsidR="00FC7B1D" w:rsidRDefault="00FC7B1D" w:rsidP="00223B6D">
      <w:pPr>
        <w:spacing w:after="0" w:line="240" w:lineRule="auto"/>
      </w:pPr>
      <w:r>
        <w:continuationSeparator/>
      </w:r>
    </w:p>
  </w:footnote>
  <w:footnote w:id="1">
    <w:p w14:paraId="70EF088A" w14:textId="77777777" w:rsidR="00223B6D" w:rsidRPr="009226E2" w:rsidRDefault="00223B6D" w:rsidP="00223B6D">
      <w:pPr>
        <w:pStyle w:val="FootnoteText"/>
        <w:rPr>
          <w:rFonts w:asciiTheme="minorHAnsi" w:hAnsiTheme="minorHAnsi" w:cstheme="minorHAnsi"/>
          <w:lang w:val="en-US"/>
        </w:rPr>
      </w:pPr>
      <w:r w:rsidRPr="009226E2">
        <w:rPr>
          <w:rStyle w:val="FootnoteReference"/>
          <w:rFonts w:asciiTheme="minorHAnsi" w:hAnsiTheme="minorHAnsi" w:cstheme="minorHAnsi"/>
          <w:lang w:val="fr"/>
        </w:rPr>
        <w:footnoteRef/>
      </w:r>
      <w:hyperlink r:id="rId1" w:history="1">
        <w:r w:rsidRPr="009226E2">
          <w:rPr>
            <w:rStyle w:val="Hyperlink"/>
            <w:rFonts w:asciiTheme="minorHAnsi" w:hAnsiTheme="minorHAnsi" w:cstheme="minorHAnsi"/>
            <w:bCs/>
            <w:lang w:val="en-US"/>
          </w:rPr>
          <w:t xml:space="preserve"> https://www.who.int/news/item/18-12-2020-covax-announces-additional-deals-to-access-promising-covid-19-vaccine-candidates-plans-global-rollout-starting-q1-2021</w:t>
        </w:r>
      </w:hyperlink>
    </w:p>
  </w:footnote>
  <w:footnote w:id="2">
    <w:p w14:paraId="1D279750" w14:textId="77777777" w:rsidR="00223B6D" w:rsidRPr="00181C5B" w:rsidRDefault="00223B6D" w:rsidP="00223B6D">
      <w:pPr>
        <w:pStyle w:val="FootnoteText"/>
        <w:rPr>
          <w:lang w:val="en-US"/>
        </w:rPr>
      </w:pPr>
      <w:r>
        <w:rPr>
          <w:rStyle w:val="FootnoteReference"/>
        </w:rPr>
        <w:footnoteRef/>
      </w:r>
      <w:r>
        <w:t xml:space="preserve"> </w:t>
      </w:r>
      <w:hyperlink r:id="rId2" w:history="1">
        <w:r w:rsidRPr="006D0569">
          <w:rPr>
            <w:rStyle w:val="Hyperlink"/>
            <w:rFonts w:asciiTheme="minorHAnsi" w:eastAsiaTheme="minorHAnsi" w:hAnsiTheme="minorHAnsi" w:cstheme="minorHAnsi"/>
            <w:bCs/>
            <w:lang w:val="en-US"/>
          </w:rPr>
          <w:t>https://news.un.org/en/story/2020/11/1078642</w:t>
        </w:r>
      </w:hyperlink>
      <w:r>
        <w:rPr>
          <w:rFonts w:asciiTheme="minorHAnsi" w:eastAsiaTheme="minorHAnsi" w:hAnsiTheme="minorHAnsi" w:cstheme="minorHAnsi"/>
          <w:b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29B6" w14:textId="377E3C19" w:rsidR="00615E09" w:rsidRDefault="00615E09" w:rsidP="00675A7E">
    <w:pPr>
      <w:pStyle w:val="Header"/>
      <w:spacing w:line="360"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367D" w14:textId="5C819810" w:rsidR="00543425" w:rsidRDefault="00B21E9B">
    <w:pPr>
      <w:pStyle w:val="Header"/>
    </w:pPr>
    <w:r w:rsidRPr="004B6000">
      <w:rPr>
        <w:noProof/>
        <w:sz w:val="28"/>
        <w:szCs w:val="28"/>
      </w:rPr>
      <w:drawing>
        <wp:anchor distT="0" distB="0" distL="114300" distR="114300" simplePos="0" relativeHeight="251659264" behindDoc="1" locked="0" layoutInCell="1" allowOverlap="1" wp14:anchorId="211B3FEB" wp14:editId="6E78FE71">
          <wp:simplePos x="0" y="0"/>
          <wp:positionH relativeFrom="column">
            <wp:posOffset>-514350</wp:posOffset>
          </wp:positionH>
          <wp:positionV relativeFrom="paragraph">
            <wp:posOffset>-184150</wp:posOffset>
          </wp:positionV>
          <wp:extent cx="7077075" cy="2018665"/>
          <wp:effectExtent l="0" t="0" r="9525" b="635"/>
          <wp:wrapTight wrapText="bothSides">
            <wp:wrapPolygon edited="0">
              <wp:start x="0" y="0"/>
              <wp:lineTo x="0" y="21403"/>
              <wp:lineTo x="21571" y="21403"/>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707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6D"/>
    <w:rsid w:val="000253A0"/>
    <w:rsid w:val="0007221B"/>
    <w:rsid w:val="001859E6"/>
    <w:rsid w:val="002218A7"/>
    <w:rsid w:val="00223B6D"/>
    <w:rsid w:val="00291A29"/>
    <w:rsid w:val="002941FA"/>
    <w:rsid w:val="00301AE2"/>
    <w:rsid w:val="00314AF5"/>
    <w:rsid w:val="003F4650"/>
    <w:rsid w:val="004B6000"/>
    <w:rsid w:val="00531CCF"/>
    <w:rsid w:val="00543425"/>
    <w:rsid w:val="005E14DE"/>
    <w:rsid w:val="00615E09"/>
    <w:rsid w:val="00675A7E"/>
    <w:rsid w:val="00676917"/>
    <w:rsid w:val="00676D2C"/>
    <w:rsid w:val="006C0A9B"/>
    <w:rsid w:val="00782CB1"/>
    <w:rsid w:val="007831BA"/>
    <w:rsid w:val="00810FA4"/>
    <w:rsid w:val="00867BAA"/>
    <w:rsid w:val="008E565F"/>
    <w:rsid w:val="009025DF"/>
    <w:rsid w:val="009226E2"/>
    <w:rsid w:val="009A2088"/>
    <w:rsid w:val="00AA7D28"/>
    <w:rsid w:val="00AC2DDB"/>
    <w:rsid w:val="00B21E9B"/>
    <w:rsid w:val="00B36BAD"/>
    <w:rsid w:val="00B940F6"/>
    <w:rsid w:val="00BB66BD"/>
    <w:rsid w:val="00BD189C"/>
    <w:rsid w:val="00BD3767"/>
    <w:rsid w:val="00C1065A"/>
    <w:rsid w:val="00C1649A"/>
    <w:rsid w:val="00C17DF0"/>
    <w:rsid w:val="00C92225"/>
    <w:rsid w:val="00D36A97"/>
    <w:rsid w:val="00DA1E5F"/>
    <w:rsid w:val="00DF0E93"/>
    <w:rsid w:val="00E84115"/>
    <w:rsid w:val="00FC08C0"/>
    <w:rsid w:val="00FC7B1D"/>
    <w:rsid w:val="00FF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6FC5"/>
  <w15:chartTrackingRefBased/>
  <w15:docId w15:val="{6FB1E0DA-5F16-496E-A831-D194CD08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B6D"/>
    <w:rPr>
      <w:rFonts w:eastAsia="MS Mincho"/>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B6D"/>
    <w:rPr>
      <w:color w:val="0563C1" w:themeColor="hyperlink"/>
      <w:u w:val="single"/>
    </w:rPr>
  </w:style>
  <w:style w:type="table" w:styleId="TableGrid">
    <w:name w:val="Table Grid"/>
    <w:basedOn w:val="TableNormal"/>
    <w:uiPriority w:val="59"/>
    <w:rsid w:val="00223B6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textChar">
    <w:name w:val="Box text Char"/>
    <w:link w:val="Boxtext"/>
    <w:locked/>
    <w:rsid w:val="00223B6D"/>
    <w:rPr>
      <w:rFonts w:ascii="Arial" w:hAnsi="Arial" w:cs="Arial"/>
    </w:rPr>
  </w:style>
  <w:style w:type="paragraph" w:customStyle="1" w:styleId="Boxtext">
    <w:name w:val="Box text"/>
    <w:basedOn w:val="Normal"/>
    <w:link w:val="BoxtextChar"/>
    <w:rsid w:val="00223B6D"/>
    <w:pPr>
      <w:keepNext/>
      <w:spacing w:after="200" w:line="240" w:lineRule="auto"/>
      <w:jc w:val="both"/>
    </w:pPr>
    <w:rPr>
      <w:rFonts w:ascii="Arial" w:eastAsiaTheme="minorHAnsi" w:hAnsi="Arial" w:cs="Arial"/>
      <w:lang w:val="en-US"/>
    </w:rPr>
  </w:style>
  <w:style w:type="paragraph" w:styleId="FootnoteText">
    <w:name w:val="footnote text"/>
    <w:basedOn w:val="Normal"/>
    <w:link w:val="FootnoteTextChar"/>
    <w:uiPriority w:val="99"/>
    <w:semiHidden/>
    <w:unhideWhenUsed/>
    <w:rsid w:val="00223B6D"/>
    <w:pPr>
      <w:spacing w:after="0" w:line="240" w:lineRule="auto"/>
    </w:pPr>
    <w:rPr>
      <w:rFonts w:ascii="Times New Roman" w:eastAsia="PMingLiU"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223B6D"/>
    <w:rPr>
      <w:rFonts w:ascii="Times New Roman" w:eastAsia="PMingLiU" w:hAnsi="Times New Roman" w:cs="Times New Roman"/>
      <w:sz w:val="20"/>
      <w:szCs w:val="20"/>
      <w:lang w:val="en-GB"/>
    </w:rPr>
  </w:style>
  <w:style w:type="character" w:styleId="FootnoteReference">
    <w:name w:val="footnote reference"/>
    <w:basedOn w:val="DefaultParagraphFont"/>
    <w:uiPriority w:val="99"/>
    <w:semiHidden/>
    <w:unhideWhenUsed/>
    <w:rsid w:val="00223B6D"/>
    <w:rPr>
      <w:vertAlign w:val="superscript"/>
    </w:rPr>
  </w:style>
  <w:style w:type="table" w:customStyle="1" w:styleId="TableGrid0">
    <w:name w:val="TableGrid"/>
    <w:rsid w:val="00223B6D"/>
    <w:pPr>
      <w:spacing w:after="0" w:line="240" w:lineRule="auto"/>
    </w:pPr>
    <w:rPr>
      <w:rFonts w:eastAsiaTheme="minorEastAsia"/>
      <w:lang w:val="en-ZA" w:eastAsia="en-ZA"/>
    </w:rPr>
    <w:tblPr>
      <w:tblCellMar>
        <w:top w:w="0" w:type="dxa"/>
        <w:left w:w="0" w:type="dxa"/>
        <w:bottom w:w="0" w:type="dxa"/>
        <w:right w:w="0" w:type="dxa"/>
      </w:tblCellMar>
    </w:tblPr>
  </w:style>
  <w:style w:type="paragraph" w:customStyle="1" w:styleId="Default">
    <w:name w:val="Default"/>
    <w:rsid w:val="00223B6D"/>
    <w:pPr>
      <w:autoSpaceDE w:val="0"/>
      <w:autoSpaceDN w:val="0"/>
      <w:adjustRightInd w:val="0"/>
      <w:spacing w:after="0" w:line="240" w:lineRule="auto"/>
    </w:pPr>
    <w:rPr>
      <w:rFonts w:ascii="Calibri" w:hAnsi="Calibri" w:cs="Calibri"/>
      <w:color w:val="000000"/>
      <w:sz w:val="24"/>
      <w:szCs w:val="24"/>
      <w:lang w:val="en-ZA"/>
    </w:rPr>
  </w:style>
  <w:style w:type="paragraph" w:styleId="Header">
    <w:name w:val="header"/>
    <w:basedOn w:val="Normal"/>
    <w:link w:val="HeaderChar"/>
    <w:uiPriority w:val="99"/>
    <w:unhideWhenUsed/>
    <w:rsid w:val="0022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B6D"/>
    <w:rPr>
      <w:rFonts w:eastAsia="MS Mincho"/>
      <w:lang w:val="en-ZA"/>
    </w:rPr>
  </w:style>
  <w:style w:type="paragraph" w:styleId="Footer">
    <w:name w:val="footer"/>
    <w:basedOn w:val="Normal"/>
    <w:link w:val="FooterChar"/>
    <w:uiPriority w:val="99"/>
    <w:unhideWhenUsed/>
    <w:rsid w:val="0022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B6D"/>
    <w:rPr>
      <w:rFonts w:eastAsia="MS Mincho"/>
      <w:lang w:val="en-ZA"/>
    </w:rPr>
  </w:style>
  <w:style w:type="character" w:styleId="UnresolvedMention">
    <w:name w:val="Unresolved Mention"/>
    <w:basedOn w:val="DefaultParagraphFont"/>
    <w:uiPriority w:val="99"/>
    <w:semiHidden/>
    <w:unhideWhenUsed/>
    <w:rsid w:val="0022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ws.un.org/en/story/2020/11/1078642" TargetMode="External"/><Relationship Id="rId1" Type="http://schemas.openxmlformats.org/officeDocument/2006/relationships/hyperlink" Target="https://www.who.int/news/item/18-12-2020-covax-announces-additional-deals-to-access-promising-covid-19-vaccine-candidates-plans-global-rollout-starting-q1-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6AF32261145F409836FCA14A350740" ma:contentTypeVersion="12" ma:contentTypeDescription="Create a new document." ma:contentTypeScope="" ma:versionID="e22ecd31db818cb3feea6b60bf4a1604">
  <xsd:schema xmlns:xsd="http://www.w3.org/2001/XMLSchema" xmlns:xs="http://www.w3.org/2001/XMLSchema" xmlns:p="http://schemas.microsoft.com/office/2006/metadata/properties" xmlns:ns2="1b4d2e45-8e50-4808-be92-179850164968" xmlns:ns3="a4907018-feab-4701-b416-2003e651155e" targetNamespace="http://schemas.microsoft.com/office/2006/metadata/properties" ma:root="true" ma:fieldsID="b0e73f60fe82854bf24afdea208ecaf5" ns2:_="" ns3:_="">
    <xsd:import namespace="1b4d2e45-8e50-4808-be92-179850164968"/>
    <xsd:import namespace="a4907018-feab-4701-b416-2003e6511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2e45-8e50-4808-be92-179850164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07018-feab-4701-b416-2003e65115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D47EC-42A8-4830-B85A-F33347952BFF}">
  <ds:schemaRefs>
    <ds:schemaRef ds:uri="http://schemas.openxmlformats.org/officeDocument/2006/bibliography"/>
  </ds:schemaRefs>
</ds:datastoreItem>
</file>

<file path=customXml/itemProps2.xml><?xml version="1.0" encoding="utf-8"?>
<ds:datastoreItem xmlns:ds="http://schemas.openxmlformats.org/officeDocument/2006/customXml" ds:itemID="{8A86D0FF-FA52-4D5A-9F13-39B33A2655FB}">
  <ds:schemaRefs>
    <ds:schemaRef ds:uri="http://schemas.microsoft.com/sharepoint/v3/contenttype/forms"/>
  </ds:schemaRefs>
</ds:datastoreItem>
</file>

<file path=customXml/itemProps3.xml><?xml version="1.0" encoding="utf-8"?>
<ds:datastoreItem xmlns:ds="http://schemas.openxmlformats.org/officeDocument/2006/customXml" ds:itemID="{8386C823-26E7-402E-A695-0A08DECBE0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DE2B8-9381-4237-ACDF-9365A920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d2e45-8e50-4808-be92-179850164968"/>
    <ds:schemaRef ds:uri="a4907018-feab-4701-b416-2003e6511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7992</Characters>
  <Application>Microsoft Office Word</Application>
  <DocSecurity>0</DocSecurity>
  <Lines>140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Serebro</dc:creator>
  <cp:keywords/>
  <dc:description/>
  <cp:lastModifiedBy>Danielle Serebro</cp:lastModifiedBy>
  <cp:revision>3</cp:revision>
  <dcterms:created xsi:type="dcterms:W3CDTF">2021-04-13T15:26:00Z</dcterms:created>
  <dcterms:modified xsi:type="dcterms:W3CDTF">2021-04-13T15:27:00Z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0x010100BA6AF32261145F409836FCA14A350740</vt:lpwstr>
  </property>
</Properties>
</file>